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BC20F" w14:textId="4D9B1D3F" w:rsidR="00EA35B7" w:rsidRDefault="00EA35B7" w:rsidP="00EA35B7">
      <w:pPr>
        <w:rPr>
          <w:b/>
          <w:bCs/>
        </w:rPr>
      </w:pPr>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197427B2" w14:textId="77777777" w:rsidR="00EA35B7" w:rsidRDefault="00EA35B7" w:rsidP="00EA35B7">
      <w:pPr>
        <w:rPr>
          <w:b/>
          <w:bCs/>
        </w:rPr>
      </w:pPr>
    </w:p>
    <w:p w14:paraId="6F42BA77" w14:textId="39127F0B" w:rsidR="00B220A8" w:rsidRDefault="00B220A8" w:rsidP="004E2DF4">
      <w:pPr>
        <w:keepNext/>
        <w:jc w:val="center"/>
        <w:rPr>
          <w:b/>
          <w:szCs w:val="22"/>
        </w:rPr>
      </w:pPr>
      <w:r>
        <w:rPr>
          <w:b/>
          <w:szCs w:val="22"/>
        </w:rPr>
        <w:t>Concept for New Exhibit J</w:t>
      </w:r>
    </w:p>
    <w:p w14:paraId="64F7F546" w14:textId="77777777" w:rsidR="00B220A8" w:rsidRDefault="00B220A8" w:rsidP="00F840CD">
      <w:pPr>
        <w:keepNext/>
        <w:rPr>
          <w:b/>
          <w:szCs w:val="22"/>
        </w:rPr>
      </w:pPr>
    </w:p>
    <w:p w14:paraId="64DD223D" w14:textId="1904E179" w:rsidR="00F840CD" w:rsidRDefault="00904D92" w:rsidP="00F840CD">
      <w:pPr>
        <w:keepNext/>
        <w:rPr>
          <w:bCs/>
          <w:szCs w:val="22"/>
        </w:rPr>
      </w:pPr>
      <w:r w:rsidRPr="00881941">
        <w:rPr>
          <w:b/>
          <w:szCs w:val="22"/>
        </w:rPr>
        <w:t>New Exhibit</w:t>
      </w:r>
      <w:r w:rsidRPr="00904D92">
        <w:rPr>
          <w:bCs/>
          <w:szCs w:val="22"/>
        </w:rPr>
        <w:t xml:space="preserve">: </w:t>
      </w:r>
      <w:r w:rsidR="00897E94">
        <w:rPr>
          <w:bCs/>
          <w:szCs w:val="22"/>
        </w:rPr>
        <w:t xml:space="preserve"> </w:t>
      </w:r>
      <w:r w:rsidR="004E2DF4">
        <w:rPr>
          <w:bCs/>
          <w:szCs w:val="22"/>
        </w:rPr>
        <w:t xml:space="preserve">BPA </w:t>
      </w:r>
      <w:r w:rsidR="00897E94">
        <w:rPr>
          <w:bCs/>
          <w:szCs w:val="22"/>
        </w:rPr>
        <w:t>is p</w:t>
      </w:r>
      <w:r w:rsidRPr="00904D92">
        <w:rPr>
          <w:bCs/>
          <w:szCs w:val="22"/>
        </w:rPr>
        <w:t>ropos</w:t>
      </w:r>
      <w:r w:rsidR="00897E94">
        <w:rPr>
          <w:bCs/>
          <w:szCs w:val="22"/>
        </w:rPr>
        <w:t>ing</w:t>
      </w:r>
      <w:r w:rsidRPr="00904D92">
        <w:rPr>
          <w:bCs/>
          <w:szCs w:val="22"/>
        </w:rPr>
        <w:t xml:space="preserve"> to add a new </w:t>
      </w:r>
      <w:r w:rsidR="00556617">
        <w:rPr>
          <w:bCs/>
          <w:szCs w:val="22"/>
        </w:rPr>
        <w:t>e</w:t>
      </w:r>
      <w:r w:rsidRPr="00904D92">
        <w:rPr>
          <w:bCs/>
          <w:szCs w:val="22"/>
        </w:rPr>
        <w:t xml:space="preserve">xhibit </w:t>
      </w:r>
      <w:r w:rsidR="00556617">
        <w:rPr>
          <w:bCs/>
          <w:szCs w:val="22"/>
        </w:rPr>
        <w:t xml:space="preserve">(“Exhibit J”) </w:t>
      </w:r>
      <w:r w:rsidRPr="00904D92">
        <w:rPr>
          <w:bCs/>
          <w:szCs w:val="22"/>
        </w:rPr>
        <w:t xml:space="preserve">to capture Resource and Energy Storage </w:t>
      </w:r>
      <w:r w:rsidR="00897E94">
        <w:rPr>
          <w:bCs/>
          <w:szCs w:val="22"/>
        </w:rPr>
        <w:t xml:space="preserve">Device </w:t>
      </w:r>
      <w:r w:rsidRPr="00904D92">
        <w:rPr>
          <w:bCs/>
          <w:szCs w:val="22"/>
        </w:rPr>
        <w:t xml:space="preserve">related elections and requirements. </w:t>
      </w:r>
      <w:r w:rsidR="00897E94">
        <w:rPr>
          <w:bCs/>
          <w:szCs w:val="22"/>
        </w:rPr>
        <w:t xml:space="preserve"> </w:t>
      </w:r>
      <w:r w:rsidRPr="00904D92">
        <w:rPr>
          <w:bCs/>
          <w:szCs w:val="22"/>
        </w:rPr>
        <w:t>There have been several new resource related elections</w:t>
      </w:r>
      <w:r w:rsidR="006443CD">
        <w:rPr>
          <w:bCs/>
          <w:szCs w:val="22"/>
        </w:rPr>
        <w:t>/</w:t>
      </w:r>
      <w:r w:rsidRPr="00904D92">
        <w:rPr>
          <w:bCs/>
          <w:szCs w:val="22"/>
        </w:rPr>
        <w:t>requirements developed during Regional Dialogue and being introduced under Provider of Choice.</w:t>
      </w:r>
      <w:r w:rsidR="00A33C53">
        <w:rPr>
          <w:bCs/>
          <w:szCs w:val="22"/>
        </w:rPr>
        <w:t xml:space="preserve"> </w:t>
      </w:r>
      <w:r w:rsidRPr="00904D92">
        <w:rPr>
          <w:bCs/>
          <w:szCs w:val="22"/>
        </w:rPr>
        <w:t>Exhibit J will capture specific elections</w:t>
      </w:r>
      <w:r w:rsidR="006443CD">
        <w:rPr>
          <w:bCs/>
          <w:szCs w:val="22"/>
        </w:rPr>
        <w:t>/</w:t>
      </w:r>
      <w:r w:rsidRPr="00904D92">
        <w:rPr>
          <w:bCs/>
          <w:szCs w:val="22"/>
        </w:rPr>
        <w:t>requirements, by resource, to better organize</w:t>
      </w:r>
      <w:r>
        <w:rPr>
          <w:bCs/>
          <w:szCs w:val="22"/>
        </w:rPr>
        <w:t xml:space="preserve"> </w:t>
      </w:r>
      <w:r w:rsidR="00D60DD1">
        <w:rPr>
          <w:bCs/>
          <w:szCs w:val="22"/>
        </w:rPr>
        <w:t xml:space="preserve">the resource related </w:t>
      </w:r>
      <w:r w:rsidR="00556617">
        <w:rPr>
          <w:bCs/>
          <w:szCs w:val="22"/>
        </w:rPr>
        <w:t>e</w:t>
      </w:r>
      <w:r w:rsidR="00D60DD1">
        <w:rPr>
          <w:bCs/>
          <w:szCs w:val="22"/>
        </w:rPr>
        <w:t>xhibit information</w:t>
      </w:r>
      <w:r w:rsidR="00CD0E14" w:rsidRPr="00904D92">
        <w:rPr>
          <w:bCs/>
          <w:szCs w:val="22"/>
        </w:rPr>
        <w:t xml:space="preserve"> for</w:t>
      </w:r>
      <w:r w:rsidR="00C82FA7">
        <w:rPr>
          <w:bCs/>
          <w:szCs w:val="22"/>
        </w:rPr>
        <w:t xml:space="preserve"> both</w:t>
      </w:r>
      <w:r w:rsidR="00CD0E14" w:rsidRPr="00904D92">
        <w:rPr>
          <w:bCs/>
          <w:szCs w:val="22"/>
        </w:rPr>
        <w:t xml:space="preserve"> internal staff (PS, Revenue Analysts, </w:t>
      </w:r>
      <w:proofErr w:type="spellStart"/>
      <w:r w:rsidR="00CD0E14" w:rsidRPr="00904D92">
        <w:rPr>
          <w:bCs/>
          <w:szCs w:val="22"/>
        </w:rPr>
        <w:t>etc</w:t>
      </w:r>
      <w:proofErr w:type="spellEnd"/>
      <w:r w:rsidR="00CD0E14" w:rsidRPr="00904D92">
        <w:rPr>
          <w:bCs/>
          <w:szCs w:val="22"/>
        </w:rPr>
        <w:t xml:space="preserve">) and </w:t>
      </w:r>
      <w:r w:rsidR="00556617">
        <w:rPr>
          <w:bCs/>
          <w:szCs w:val="22"/>
        </w:rPr>
        <w:t>c</w:t>
      </w:r>
      <w:r w:rsidR="00CD0E14" w:rsidRPr="00904D92">
        <w:rPr>
          <w:bCs/>
          <w:szCs w:val="22"/>
        </w:rPr>
        <w:t>ustomers.</w:t>
      </w:r>
      <w:r w:rsidR="00402AD7">
        <w:rPr>
          <w:bCs/>
          <w:szCs w:val="22"/>
        </w:rPr>
        <w:t xml:space="preserve"> </w:t>
      </w:r>
      <w:r w:rsidR="00897E94">
        <w:rPr>
          <w:bCs/>
          <w:szCs w:val="22"/>
        </w:rPr>
        <w:t xml:space="preserve"> </w:t>
      </w:r>
      <w:r w:rsidR="00402AD7">
        <w:rPr>
          <w:bCs/>
          <w:szCs w:val="22"/>
        </w:rPr>
        <w:t xml:space="preserve">Moving the elections/requirements to one </w:t>
      </w:r>
      <w:r w:rsidR="00556617">
        <w:rPr>
          <w:bCs/>
          <w:szCs w:val="22"/>
        </w:rPr>
        <w:t>e</w:t>
      </w:r>
      <w:r w:rsidR="00402AD7">
        <w:rPr>
          <w:bCs/>
          <w:szCs w:val="22"/>
        </w:rPr>
        <w:t xml:space="preserve">xhibit may also create administrative efficiencies by revising just one </w:t>
      </w:r>
      <w:r w:rsidR="00556617">
        <w:rPr>
          <w:bCs/>
          <w:szCs w:val="22"/>
        </w:rPr>
        <w:t>e</w:t>
      </w:r>
      <w:r w:rsidR="00402AD7">
        <w:rPr>
          <w:bCs/>
          <w:szCs w:val="22"/>
        </w:rPr>
        <w:t>xhibit instead of multiple</w:t>
      </w:r>
      <w:r w:rsidR="0061467E">
        <w:rPr>
          <w:bCs/>
          <w:szCs w:val="22"/>
        </w:rPr>
        <w:t xml:space="preserve"> </w:t>
      </w:r>
      <w:r w:rsidR="00556617">
        <w:rPr>
          <w:bCs/>
          <w:szCs w:val="22"/>
        </w:rPr>
        <w:t>e</w:t>
      </w:r>
      <w:r w:rsidR="004A43E0">
        <w:rPr>
          <w:bCs/>
          <w:szCs w:val="22"/>
        </w:rPr>
        <w:t>xhibits</w:t>
      </w:r>
      <w:r w:rsidR="00A61772">
        <w:rPr>
          <w:bCs/>
          <w:szCs w:val="22"/>
        </w:rPr>
        <w:t>.</w:t>
      </w:r>
    </w:p>
    <w:p w14:paraId="10F5DA2D" w14:textId="77777777" w:rsidR="00D60DD1" w:rsidRDefault="00D60DD1" w:rsidP="00897E94">
      <w:pPr>
        <w:rPr>
          <w:bCs/>
          <w:szCs w:val="22"/>
        </w:rPr>
      </w:pPr>
    </w:p>
    <w:p w14:paraId="4BA3B6D8" w14:textId="2277D853" w:rsidR="00D60DD1" w:rsidRDefault="00897E94" w:rsidP="00F840CD">
      <w:pPr>
        <w:keepNext/>
        <w:rPr>
          <w:bCs/>
          <w:szCs w:val="22"/>
        </w:rPr>
      </w:pPr>
      <w:r>
        <w:rPr>
          <w:bCs/>
          <w:szCs w:val="22"/>
        </w:rPr>
        <w:t xml:space="preserve">Staff believe Exhibit A should stay the Net Requirement exhibit as it is the foundation of BPA’s Power Sales Contracts.  </w:t>
      </w:r>
      <w:r w:rsidR="00D60DD1">
        <w:rPr>
          <w:bCs/>
          <w:szCs w:val="22"/>
        </w:rPr>
        <w:t xml:space="preserve">The new Exhibit J will </w:t>
      </w:r>
      <w:r>
        <w:rPr>
          <w:bCs/>
          <w:szCs w:val="22"/>
        </w:rPr>
        <w:t xml:space="preserve">serve to </w:t>
      </w:r>
      <w:r w:rsidR="00D60DD1">
        <w:rPr>
          <w:bCs/>
          <w:szCs w:val="22"/>
        </w:rPr>
        <w:t xml:space="preserve">keep Exhibit A as it was intended to </w:t>
      </w:r>
      <w:proofErr w:type="gramStart"/>
      <w:r w:rsidR="00D60DD1">
        <w:rPr>
          <w:bCs/>
          <w:szCs w:val="22"/>
        </w:rPr>
        <w:t>be</w:t>
      </w:r>
      <w:r>
        <w:rPr>
          <w:bCs/>
          <w:szCs w:val="22"/>
        </w:rPr>
        <w:t>:</w:t>
      </w:r>
      <w:proofErr w:type="gramEnd"/>
      <w:r w:rsidR="00D60DD1">
        <w:rPr>
          <w:bCs/>
          <w:szCs w:val="22"/>
        </w:rPr>
        <w:t xml:space="preserve"> the Net Requirement exhibit. </w:t>
      </w:r>
      <w:r>
        <w:rPr>
          <w:bCs/>
          <w:szCs w:val="22"/>
        </w:rPr>
        <w:t xml:space="preserve"> </w:t>
      </w:r>
      <w:r w:rsidR="00D60DD1">
        <w:rPr>
          <w:bCs/>
          <w:szCs w:val="22"/>
        </w:rPr>
        <w:t xml:space="preserve">If BPA does not add a new Exhibit J, then </w:t>
      </w:r>
      <w:r>
        <w:rPr>
          <w:bCs/>
          <w:szCs w:val="22"/>
        </w:rPr>
        <w:t>it is expected that, for lack of a better ‘home</w:t>
      </w:r>
      <w:r w:rsidR="00F120D9">
        <w:rPr>
          <w:bCs/>
          <w:szCs w:val="22"/>
        </w:rPr>
        <w:t>’</w:t>
      </w:r>
      <w:r>
        <w:rPr>
          <w:bCs/>
          <w:szCs w:val="22"/>
        </w:rPr>
        <w:t xml:space="preserve">, </w:t>
      </w:r>
      <w:r w:rsidR="00D60DD1">
        <w:rPr>
          <w:bCs/>
          <w:szCs w:val="22"/>
        </w:rPr>
        <w:t xml:space="preserve">a lot of the new resource related elections/requirements and Energy Storage </w:t>
      </w:r>
      <w:r>
        <w:rPr>
          <w:bCs/>
          <w:szCs w:val="22"/>
        </w:rPr>
        <w:t>D</w:t>
      </w:r>
      <w:r w:rsidR="00D60DD1">
        <w:rPr>
          <w:bCs/>
          <w:szCs w:val="22"/>
        </w:rPr>
        <w:t xml:space="preserve">evices would likely end up in Exhibit A. </w:t>
      </w:r>
    </w:p>
    <w:p w14:paraId="160AECBE" w14:textId="77777777" w:rsidR="006316AE" w:rsidRDefault="006316AE" w:rsidP="00F840CD">
      <w:pPr>
        <w:keepNext/>
        <w:rPr>
          <w:bCs/>
          <w:szCs w:val="22"/>
        </w:rPr>
      </w:pPr>
    </w:p>
    <w:p w14:paraId="0AC22D47" w14:textId="7CEFAE06" w:rsidR="006316AE" w:rsidRPr="00904D92" w:rsidRDefault="006316AE" w:rsidP="00F840CD">
      <w:pPr>
        <w:keepNext/>
        <w:rPr>
          <w:bCs/>
          <w:szCs w:val="22"/>
        </w:rPr>
      </w:pPr>
      <w:r>
        <w:rPr>
          <w:bCs/>
          <w:szCs w:val="22"/>
        </w:rPr>
        <w:t xml:space="preserve">Below is Exhibit J </w:t>
      </w:r>
      <w:r w:rsidRPr="00F120D9">
        <w:rPr>
          <w:bCs/>
          <w:szCs w:val="22"/>
          <w:u w:val="single"/>
        </w:rPr>
        <w:t xml:space="preserve">in </w:t>
      </w:r>
      <w:r w:rsidRPr="00F120D9">
        <w:rPr>
          <w:bCs/>
          <w:i/>
          <w:iCs/>
          <w:szCs w:val="22"/>
          <w:u w:val="single"/>
        </w:rPr>
        <w:t>concept only</w:t>
      </w:r>
      <w:r>
        <w:rPr>
          <w:bCs/>
          <w:szCs w:val="22"/>
        </w:rPr>
        <w:t xml:space="preserve">. </w:t>
      </w:r>
      <w:r w:rsidR="00897E94">
        <w:rPr>
          <w:bCs/>
          <w:szCs w:val="22"/>
        </w:rPr>
        <w:t xml:space="preserve"> </w:t>
      </w:r>
      <w:r>
        <w:rPr>
          <w:bCs/>
          <w:szCs w:val="22"/>
        </w:rPr>
        <w:t xml:space="preserve">Anything populated in the sections below </w:t>
      </w:r>
      <w:r w:rsidR="003A21B4">
        <w:rPr>
          <w:bCs/>
          <w:szCs w:val="22"/>
        </w:rPr>
        <w:t>are</w:t>
      </w:r>
      <w:r>
        <w:rPr>
          <w:bCs/>
          <w:szCs w:val="22"/>
        </w:rPr>
        <w:t xml:space="preserve"> </w:t>
      </w:r>
      <w:r w:rsidR="003A21B4">
        <w:rPr>
          <w:bCs/>
          <w:szCs w:val="22"/>
        </w:rPr>
        <w:t>for providing</w:t>
      </w:r>
      <w:r>
        <w:rPr>
          <w:bCs/>
          <w:szCs w:val="22"/>
        </w:rPr>
        <w:t xml:space="preserve"> example</w:t>
      </w:r>
      <w:r w:rsidR="003A21B4">
        <w:rPr>
          <w:bCs/>
          <w:szCs w:val="22"/>
        </w:rPr>
        <w:t>s</w:t>
      </w:r>
      <w:r>
        <w:rPr>
          <w:bCs/>
          <w:szCs w:val="22"/>
        </w:rPr>
        <w:t xml:space="preserve"> of how Exhibit J would work in concept.</w:t>
      </w:r>
    </w:p>
    <w:p w14:paraId="095AB3F3" w14:textId="77777777" w:rsidR="00F840CD" w:rsidRDefault="00F840CD" w:rsidP="00897A82">
      <w:pPr>
        <w:jc w:val="center"/>
        <w:rPr>
          <w:b/>
          <w:szCs w:val="22"/>
        </w:rPr>
      </w:pPr>
    </w:p>
    <w:p w14:paraId="052E00A0" w14:textId="12776497" w:rsidR="00D23CB5" w:rsidRDefault="00D23CB5" w:rsidP="00897A82">
      <w:pPr>
        <w:jc w:val="center"/>
        <w:rPr>
          <w:b/>
          <w:szCs w:val="22"/>
        </w:rPr>
      </w:pPr>
      <w:r>
        <w:rPr>
          <w:b/>
          <w:szCs w:val="22"/>
        </w:rPr>
        <w:t>Exhibit J</w:t>
      </w:r>
    </w:p>
    <w:p w14:paraId="5F3420CC" w14:textId="3C904AD2" w:rsidR="00D23CB5" w:rsidRDefault="001549E0" w:rsidP="00897A82">
      <w:pPr>
        <w:jc w:val="center"/>
        <w:rPr>
          <w:b/>
          <w:szCs w:val="22"/>
        </w:rPr>
      </w:pPr>
      <w:r>
        <w:rPr>
          <w:b/>
          <w:szCs w:val="22"/>
        </w:rPr>
        <w:t>ADDITIONAL RESOURCE AND ENERGY STORAGE DEVI</w:t>
      </w:r>
      <w:r w:rsidR="00F97C4F">
        <w:rPr>
          <w:b/>
          <w:szCs w:val="22"/>
        </w:rPr>
        <w:t>C</w:t>
      </w:r>
      <w:r>
        <w:rPr>
          <w:b/>
          <w:szCs w:val="22"/>
        </w:rPr>
        <w:t xml:space="preserve">E </w:t>
      </w:r>
      <w:commentRangeStart w:id="0"/>
      <w:r>
        <w:rPr>
          <w:b/>
          <w:szCs w:val="22"/>
        </w:rPr>
        <w:t>REQUIREMENT</w:t>
      </w:r>
      <w:r w:rsidR="001E3F20">
        <w:rPr>
          <w:b/>
          <w:szCs w:val="22"/>
        </w:rPr>
        <w:t>S</w:t>
      </w:r>
      <w:commentRangeEnd w:id="0"/>
      <w:r w:rsidR="004C1FAF">
        <w:rPr>
          <w:rStyle w:val="CommentReference"/>
        </w:rPr>
        <w:commentReference w:id="0"/>
      </w:r>
    </w:p>
    <w:p w14:paraId="3A6C0313" w14:textId="77777777" w:rsidR="00D23CB5" w:rsidRDefault="00D23CB5" w:rsidP="00897A82">
      <w:pPr>
        <w:rPr>
          <w:b/>
          <w:szCs w:val="22"/>
        </w:rPr>
      </w:pPr>
    </w:p>
    <w:p w14:paraId="0CE53FEB" w14:textId="79749C4D" w:rsidR="00AB2A14" w:rsidRDefault="001E3F20" w:rsidP="00897A82">
      <w:pPr>
        <w:ind w:left="720" w:hanging="720"/>
        <w:rPr>
          <w:b/>
          <w:szCs w:val="22"/>
        </w:rPr>
      </w:pPr>
      <w:r>
        <w:rPr>
          <w:b/>
          <w:szCs w:val="22"/>
        </w:rPr>
        <w:t>1</w:t>
      </w:r>
      <w:r w:rsidR="00A57991">
        <w:rPr>
          <w:b/>
          <w:szCs w:val="22"/>
        </w:rPr>
        <w:t>.</w:t>
      </w:r>
      <w:r w:rsidR="00A57991">
        <w:rPr>
          <w:b/>
          <w:szCs w:val="22"/>
        </w:rPr>
        <w:tab/>
      </w:r>
      <w:r w:rsidR="00AB2A14">
        <w:rPr>
          <w:b/>
          <w:szCs w:val="22"/>
        </w:rPr>
        <w:t>CUSTOMER RESOURCE ELECTIONS</w:t>
      </w:r>
      <w:r w:rsidR="00F741F8">
        <w:rPr>
          <w:b/>
          <w:szCs w:val="22"/>
        </w:rPr>
        <w:t xml:space="preserve"> AND CHARACTERISTICS </w:t>
      </w:r>
      <w:commentRangeStart w:id="1"/>
      <w:r w:rsidR="00AB2A14">
        <w:rPr>
          <w:b/>
          <w:szCs w:val="22"/>
        </w:rPr>
        <w:t>SUMMARY</w:t>
      </w:r>
      <w:commentRangeEnd w:id="1"/>
      <w:r w:rsidR="004C1FAF">
        <w:rPr>
          <w:rStyle w:val="CommentReference"/>
        </w:rPr>
        <w:commentReference w:id="1"/>
      </w:r>
      <w:r w:rsidR="00F679CB">
        <w:rPr>
          <w:b/>
          <w:szCs w:val="22"/>
        </w:rPr>
        <w:t xml:space="preserve"> – </w:t>
      </w:r>
      <w:r w:rsidR="00F679CB" w:rsidRPr="00F679CB">
        <w:rPr>
          <w:b/>
          <w:szCs w:val="22"/>
          <w:highlight w:val="yellow"/>
        </w:rPr>
        <w:t xml:space="preserve">New </w:t>
      </w:r>
      <w:r w:rsidR="00F679CB">
        <w:rPr>
          <w:b/>
          <w:szCs w:val="22"/>
          <w:highlight w:val="yellow"/>
        </w:rPr>
        <w:t>election</w:t>
      </w:r>
      <w:r w:rsidR="00FA4462">
        <w:rPr>
          <w:b/>
          <w:szCs w:val="22"/>
          <w:highlight w:val="yellow"/>
        </w:rPr>
        <w:t>/requirement</w:t>
      </w:r>
      <w:r w:rsidR="00F679CB">
        <w:rPr>
          <w:b/>
          <w:szCs w:val="22"/>
          <w:highlight w:val="yellow"/>
        </w:rPr>
        <w:t xml:space="preserve"> </w:t>
      </w:r>
      <w:r w:rsidR="00F679CB" w:rsidRPr="00F679CB">
        <w:rPr>
          <w:b/>
          <w:szCs w:val="22"/>
          <w:highlight w:val="yellow"/>
        </w:rPr>
        <w:t>tables</w:t>
      </w:r>
    </w:p>
    <w:p w14:paraId="25235152" w14:textId="77777777" w:rsidR="003E7A77" w:rsidRDefault="003E7A77" w:rsidP="00897A82">
      <w:pPr>
        <w:ind w:left="720"/>
        <w:rPr>
          <w:bCs/>
          <w:szCs w:val="22"/>
        </w:rPr>
      </w:pPr>
    </w:p>
    <w:p w14:paraId="1A0C9301" w14:textId="05DF4221" w:rsidR="00A57991" w:rsidRDefault="00A57991" w:rsidP="00897A82"/>
    <w:p w14:paraId="1E937D3C" w14:textId="350FE294" w:rsidR="00CC1E28" w:rsidRPr="00ED40CF" w:rsidRDefault="00CC1E28" w:rsidP="00897A82">
      <w:pPr>
        <w:rPr>
          <w:b/>
          <w:i/>
          <w:vanish/>
        </w:rPr>
      </w:pPr>
      <w:r w:rsidRPr="000976A1">
        <w:rPr>
          <w:b/>
        </w:rPr>
        <w:t>2.</w:t>
      </w:r>
      <w:r w:rsidRPr="000976A1">
        <w:tab/>
      </w:r>
      <w:r w:rsidRPr="000976A1">
        <w:rPr>
          <w:b/>
        </w:rPr>
        <w:t>RESOURCE SUPPORT SERVICES</w:t>
      </w:r>
      <w:r w:rsidR="00F679CB">
        <w:rPr>
          <w:b/>
        </w:rPr>
        <w:t xml:space="preserve"> – </w:t>
      </w:r>
      <w:r w:rsidR="00F679CB" w:rsidRPr="00F679CB">
        <w:rPr>
          <w:b/>
          <w:highlight w:val="yellow"/>
        </w:rPr>
        <w:t>Currently in Exhibit D</w:t>
      </w:r>
    </w:p>
    <w:p w14:paraId="1B383C71" w14:textId="77777777" w:rsidR="00CC1E28" w:rsidRPr="000976A1" w:rsidRDefault="00CC1E28" w:rsidP="00897A82">
      <w:pPr>
        <w:ind w:left="720"/>
        <w:rPr>
          <w:szCs w:val="22"/>
        </w:rPr>
      </w:pPr>
    </w:p>
    <w:p w14:paraId="57738621" w14:textId="77777777" w:rsidR="00CC1E28" w:rsidRDefault="00CC1E28" w:rsidP="00897A82">
      <w:pPr>
        <w:ind w:left="1440" w:hanging="720"/>
        <w:rPr>
          <w:szCs w:val="22"/>
        </w:rPr>
      </w:pPr>
    </w:p>
    <w:p w14:paraId="52213076" w14:textId="33311D14" w:rsidR="00F35DA5" w:rsidRDefault="00F35DA5" w:rsidP="00680BD9">
      <w:pPr>
        <w:ind w:left="720" w:hanging="720"/>
        <w:rPr>
          <w:rFonts w:cs="Arial"/>
          <w:b/>
          <w:bCs/>
          <w:iCs/>
          <w:szCs w:val="22"/>
        </w:rPr>
      </w:pPr>
      <w:r w:rsidRPr="00A66A78">
        <w:rPr>
          <w:b/>
          <w:bCs/>
        </w:rPr>
        <w:t>3.</w:t>
      </w:r>
      <w:r>
        <w:rPr>
          <w:b/>
          <w:bCs/>
        </w:rPr>
        <w:tab/>
      </w:r>
      <w:r w:rsidR="00EB578E">
        <w:rPr>
          <w:b/>
          <w:bCs/>
        </w:rPr>
        <w:t xml:space="preserve">EXISTING </w:t>
      </w:r>
      <w:r w:rsidR="007D1DDE">
        <w:rPr>
          <w:b/>
          <w:bCs/>
        </w:rPr>
        <w:t xml:space="preserve">DISPATCHABLE </w:t>
      </w:r>
      <w:r>
        <w:rPr>
          <w:rFonts w:cs="Arial"/>
          <w:b/>
          <w:bCs/>
          <w:iCs/>
          <w:szCs w:val="22"/>
        </w:rPr>
        <w:t>RESOURCE CAPACITY SHAPING REQUIREMENTS</w:t>
      </w:r>
      <w:r w:rsidR="00F679CB">
        <w:rPr>
          <w:rFonts w:cs="Arial"/>
          <w:b/>
          <w:bCs/>
          <w:iCs/>
          <w:szCs w:val="22"/>
        </w:rPr>
        <w:t xml:space="preserve"> – </w:t>
      </w:r>
      <w:r w:rsidR="00F679CB" w:rsidRPr="00F679CB">
        <w:rPr>
          <w:rFonts w:cs="Arial"/>
          <w:b/>
          <w:bCs/>
          <w:iCs/>
          <w:szCs w:val="22"/>
          <w:highlight w:val="yellow"/>
        </w:rPr>
        <w:t>Needs a home</w:t>
      </w:r>
    </w:p>
    <w:p w14:paraId="2BCC5002" w14:textId="16A8F336" w:rsidR="00D7443E" w:rsidRPr="00680BD9" w:rsidRDefault="00D7443E" w:rsidP="00680BD9">
      <w:pPr>
        <w:ind w:left="720"/>
        <w:rPr>
          <w:b/>
          <w:bCs/>
        </w:rPr>
      </w:pPr>
      <w:r w:rsidRPr="00EB578E">
        <w:t>Potential placeholder for requirements for Existing Dispatchable resources</w:t>
      </w:r>
      <w:r w:rsidR="00680BD9">
        <w:t>.</w:t>
      </w:r>
    </w:p>
    <w:p w14:paraId="07E391BD" w14:textId="77777777" w:rsidR="00A66A78" w:rsidRDefault="00A66A78" w:rsidP="00897A82">
      <w:pPr>
        <w:ind w:left="1440" w:hanging="720"/>
        <w:rPr>
          <w:szCs w:val="22"/>
        </w:rPr>
      </w:pPr>
    </w:p>
    <w:p w14:paraId="453122FF" w14:textId="41E6F007" w:rsidR="00A66A78" w:rsidRPr="00254985" w:rsidRDefault="00F35DA5" w:rsidP="00897A82">
      <w:pPr>
        <w:ind w:left="720" w:hanging="720"/>
        <w:rPr>
          <w:rFonts w:cs="Arial"/>
          <w:b/>
          <w:bCs/>
          <w:iCs/>
          <w:szCs w:val="22"/>
        </w:rPr>
      </w:pPr>
      <w:r>
        <w:rPr>
          <w:b/>
          <w:bCs/>
        </w:rPr>
        <w:t>4</w:t>
      </w:r>
      <w:r w:rsidR="00A66A78" w:rsidRPr="00A66A78">
        <w:rPr>
          <w:b/>
          <w:bCs/>
        </w:rPr>
        <w:t>.</w:t>
      </w:r>
      <w:r w:rsidR="00A66A78">
        <w:rPr>
          <w:b/>
          <w:bCs/>
        </w:rPr>
        <w:tab/>
      </w:r>
      <w:r w:rsidR="00A66A78" w:rsidRPr="00254985">
        <w:rPr>
          <w:rFonts w:cs="Arial"/>
          <w:b/>
          <w:bCs/>
          <w:iCs/>
          <w:szCs w:val="22"/>
        </w:rPr>
        <w:t>RESOURCE ADEQUACY SUBMITTALS FOR COMMITTED POWER PURCHASE AMOUNTS</w:t>
      </w:r>
      <w:r w:rsidR="00F679CB">
        <w:rPr>
          <w:rFonts w:cs="Arial"/>
          <w:b/>
          <w:bCs/>
          <w:iCs/>
          <w:szCs w:val="22"/>
        </w:rPr>
        <w:t xml:space="preserve"> – </w:t>
      </w:r>
      <w:r w:rsidR="00F679CB" w:rsidRPr="00F679CB">
        <w:rPr>
          <w:rFonts w:cs="Arial"/>
          <w:b/>
          <w:bCs/>
          <w:iCs/>
          <w:szCs w:val="22"/>
          <w:highlight w:val="yellow"/>
        </w:rPr>
        <w:t>Needs a home</w:t>
      </w:r>
    </w:p>
    <w:p w14:paraId="055F1A83" w14:textId="77777777" w:rsidR="008943E3" w:rsidRDefault="008943E3" w:rsidP="00A33C53">
      <w:pPr>
        <w:ind w:left="720" w:hanging="720"/>
      </w:pPr>
    </w:p>
    <w:p w14:paraId="77502A07" w14:textId="35CDC08D" w:rsidR="008943E3" w:rsidRDefault="008943E3" w:rsidP="008943E3">
      <w:pPr>
        <w:rPr>
          <w:b/>
          <w:bCs/>
        </w:rPr>
      </w:pPr>
      <w:r w:rsidRPr="008943E3">
        <w:rPr>
          <w:b/>
          <w:bCs/>
        </w:rPr>
        <w:t>5.</w:t>
      </w:r>
      <w:r w:rsidRPr="008943E3">
        <w:rPr>
          <w:b/>
          <w:bCs/>
        </w:rPr>
        <w:tab/>
        <w:t>TCMS COVERAGE BY RESOU</w:t>
      </w:r>
      <w:r w:rsidR="00F679CB">
        <w:rPr>
          <w:b/>
          <w:bCs/>
        </w:rPr>
        <w:t>R</w:t>
      </w:r>
      <w:r w:rsidRPr="008943E3">
        <w:rPr>
          <w:b/>
          <w:bCs/>
        </w:rPr>
        <w:t xml:space="preserve">CE </w:t>
      </w:r>
      <w:r w:rsidR="00F679CB">
        <w:rPr>
          <w:b/>
          <w:bCs/>
        </w:rPr>
        <w:t xml:space="preserve">– </w:t>
      </w:r>
      <w:r w:rsidR="00F679CB" w:rsidRPr="00F679CB">
        <w:rPr>
          <w:b/>
          <w:bCs/>
          <w:highlight w:val="yellow"/>
        </w:rPr>
        <w:t>Currently in Exhibit F</w:t>
      </w:r>
    </w:p>
    <w:p w14:paraId="280B0F60" w14:textId="77777777" w:rsidR="008943E3" w:rsidRPr="008943E3" w:rsidRDefault="008943E3" w:rsidP="00897A82">
      <w:pPr>
        <w:rPr>
          <w:b/>
          <w:bCs/>
        </w:rPr>
      </w:pPr>
    </w:p>
    <w:p w14:paraId="2AB840E8" w14:textId="67CF4542" w:rsidR="000516C8" w:rsidRDefault="008943E3" w:rsidP="00897A82">
      <w:pPr>
        <w:ind w:left="720" w:hanging="720"/>
        <w:rPr>
          <w:b/>
          <w:szCs w:val="22"/>
        </w:rPr>
      </w:pPr>
      <w:r>
        <w:rPr>
          <w:b/>
          <w:bCs/>
        </w:rPr>
        <w:t>6</w:t>
      </w:r>
      <w:r w:rsidR="000516C8" w:rsidRPr="000516C8">
        <w:rPr>
          <w:b/>
          <w:bCs/>
        </w:rPr>
        <w:t>.</w:t>
      </w:r>
      <w:r w:rsidR="000516C8">
        <w:rPr>
          <w:b/>
          <w:szCs w:val="22"/>
        </w:rPr>
        <w:tab/>
        <w:t>ENERGY STORAGE D</w:t>
      </w:r>
      <w:commentRangeStart w:id="2"/>
      <w:r w:rsidR="000516C8">
        <w:rPr>
          <w:b/>
          <w:szCs w:val="22"/>
        </w:rPr>
        <w:t>EVICES</w:t>
      </w:r>
      <w:commentRangeEnd w:id="2"/>
      <w:r w:rsidR="00A14C10">
        <w:rPr>
          <w:rStyle w:val="CommentReference"/>
        </w:rPr>
        <w:commentReference w:id="2"/>
      </w:r>
      <w:r w:rsidR="00F679CB">
        <w:rPr>
          <w:b/>
          <w:szCs w:val="22"/>
        </w:rPr>
        <w:t xml:space="preserve"> – </w:t>
      </w:r>
      <w:r w:rsidR="00F679CB" w:rsidRPr="00F679CB">
        <w:rPr>
          <w:b/>
          <w:szCs w:val="22"/>
          <w:highlight w:val="yellow"/>
        </w:rPr>
        <w:t>Needs a home</w:t>
      </w:r>
    </w:p>
    <w:p w14:paraId="799ED679" w14:textId="77777777" w:rsidR="000516C8" w:rsidRDefault="000516C8" w:rsidP="00897A82">
      <w:pPr>
        <w:spacing w:line="240" w:lineRule="atLeast"/>
        <w:ind w:left="720"/>
        <w:rPr>
          <w:rFonts w:cs="Century Schoolbook"/>
          <w:szCs w:val="22"/>
        </w:rPr>
      </w:pPr>
    </w:p>
    <w:p w14:paraId="7FF29341" w14:textId="77777777" w:rsidR="00A57991" w:rsidRPr="00A57991" w:rsidRDefault="00A57991" w:rsidP="00A33C53">
      <w:pPr>
        <w:tabs>
          <w:tab w:val="left" w:pos="720"/>
        </w:tabs>
        <w:ind w:left="720"/>
      </w:pPr>
    </w:p>
    <w:sectPr w:rsidR="00A57991" w:rsidRPr="00A57991">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Olive,Kelly J (BPA) - PSS-6" w:date="2024-09-17T15:26:00Z" w:initials="OJ(P6">
    <w:p w14:paraId="7F1190CF" w14:textId="77777777" w:rsidR="00414B2F" w:rsidRDefault="004C1FAF" w:rsidP="00414B2F">
      <w:pPr>
        <w:pStyle w:val="CommentText"/>
      </w:pPr>
      <w:r>
        <w:rPr>
          <w:rStyle w:val="CommentReference"/>
        </w:rPr>
        <w:annotationRef/>
      </w:r>
      <w:r w:rsidR="00414B2F">
        <w:t xml:space="preserve">Aaron B., EWEB:  not required to dedicate resources to meet load growth for planned product customers?  Correct?  </w:t>
      </w:r>
    </w:p>
    <w:p w14:paraId="5FED595F" w14:textId="77777777" w:rsidR="00414B2F" w:rsidRDefault="00414B2F" w:rsidP="00414B2F">
      <w:pPr>
        <w:pStyle w:val="CommentText"/>
      </w:pPr>
    </w:p>
    <w:p w14:paraId="2F8A7B3D" w14:textId="77777777" w:rsidR="00414B2F" w:rsidRDefault="00414B2F" w:rsidP="00414B2F">
      <w:pPr>
        <w:pStyle w:val="CommentText"/>
      </w:pPr>
      <w:r>
        <w:t xml:space="preserve">Lindsay:  probably wouldn’t need the information.  </w:t>
      </w:r>
    </w:p>
    <w:p w14:paraId="6EA691F3" w14:textId="77777777" w:rsidR="00414B2F" w:rsidRDefault="00414B2F" w:rsidP="00414B2F">
      <w:pPr>
        <w:pStyle w:val="CommentText"/>
      </w:pPr>
    </w:p>
    <w:p w14:paraId="0739F95D" w14:textId="77777777" w:rsidR="00414B2F" w:rsidRDefault="00414B2F" w:rsidP="00414B2F">
      <w:pPr>
        <w:pStyle w:val="CommentText"/>
      </w:pPr>
      <w:r>
        <w:t xml:space="preserve">Aaron:  on LF side, for CPP, have load growth, thermal, hydro and PP agreement.  RSS to flatten, could bring in flat.  Or not specify, and update CPP section.  Back-billed in Exh. J.  Solar but backed up with QCC can point to.  Have hourly obligation to meet that amount.  </w:t>
      </w:r>
    </w:p>
    <w:p w14:paraId="56200F6B" w14:textId="77777777" w:rsidR="00414B2F" w:rsidRDefault="00414B2F" w:rsidP="00414B2F">
      <w:pPr>
        <w:pStyle w:val="CommentText"/>
      </w:pPr>
    </w:p>
    <w:p w14:paraId="26FC6346" w14:textId="77777777" w:rsidR="00414B2F" w:rsidRDefault="00414B2F" w:rsidP="00414B2F">
      <w:pPr>
        <w:pStyle w:val="CommentText"/>
      </w:pPr>
      <w:r>
        <w:t xml:space="preserve">Lindsay:  yep.  </w:t>
      </w:r>
    </w:p>
    <w:p w14:paraId="3B794162" w14:textId="77777777" w:rsidR="00414B2F" w:rsidRDefault="00414B2F" w:rsidP="00414B2F">
      <w:pPr>
        <w:pStyle w:val="CommentText"/>
      </w:pPr>
    </w:p>
    <w:p w14:paraId="35CE14FC" w14:textId="77777777" w:rsidR="00414B2F" w:rsidRDefault="00414B2F" w:rsidP="00414B2F">
      <w:pPr>
        <w:pStyle w:val="CommentText"/>
      </w:pPr>
      <w:r>
        <w:t xml:space="preserve">Aaron:  have existing resources, hourly profile shaped to given by BAP, new (CPP) + existing lumped into one obligation?  </w:t>
      </w:r>
    </w:p>
    <w:p w14:paraId="3E07CCDB" w14:textId="77777777" w:rsidR="00414B2F" w:rsidRDefault="00414B2F" w:rsidP="00414B2F">
      <w:pPr>
        <w:pStyle w:val="CommentText"/>
      </w:pPr>
    </w:p>
    <w:p w14:paraId="54A06C78" w14:textId="77777777" w:rsidR="00414B2F" w:rsidRDefault="00414B2F" w:rsidP="00414B2F">
      <w:pPr>
        <w:pStyle w:val="CommentText"/>
      </w:pPr>
      <w:r>
        <w:t>Lindsay:  2 separate schedules in e-tag world.</w:t>
      </w:r>
    </w:p>
  </w:comment>
  <w:comment w:id="1" w:author="Olive,Kelly J (BPA) - PSS-6" w:date="2024-09-17T15:22:00Z" w:initials="OJ(P6">
    <w:p w14:paraId="10C48C33" w14:textId="77777777" w:rsidR="00414B2F" w:rsidRDefault="004C1FAF" w:rsidP="00414B2F">
      <w:pPr>
        <w:pStyle w:val="CommentText"/>
      </w:pPr>
      <w:r>
        <w:rPr>
          <w:rStyle w:val="CommentReference"/>
        </w:rPr>
        <w:annotationRef/>
      </w:r>
      <w:r w:rsidR="00414B2F">
        <w:t xml:space="preserve">Lon:  last time we talked about storage devices (ESD) in other BAs.  May be circumstances of ESD in BA of planned product customer, ESD would need to be identified?  </w:t>
      </w:r>
    </w:p>
    <w:p w14:paraId="5F434DDA" w14:textId="77777777" w:rsidR="00414B2F" w:rsidRDefault="00414B2F" w:rsidP="00414B2F">
      <w:pPr>
        <w:pStyle w:val="CommentText"/>
      </w:pPr>
    </w:p>
    <w:p w14:paraId="340E8F6B" w14:textId="77777777" w:rsidR="00414B2F" w:rsidRDefault="00414B2F" w:rsidP="00414B2F">
      <w:pPr>
        <w:pStyle w:val="CommentText"/>
      </w:pPr>
      <w:r>
        <w:t xml:space="preserve">Lindsay: let’s hold off on question until we bring that language.  </w:t>
      </w:r>
    </w:p>
    <w:p w14:paraId="2DA0D2F0" w14:textId="77777777" w:rsidR="00414B2F" w:rsidRDefault="00414B2F" w:rsidP="00414B2F">
      <w:pPr>
        <w:pStyle w:val="CommentText"/>
      </w:pPr>
    </w:p>
    <w:p w14:paraId="0DC91D94" w14:textId="77777777" w:rsidR="00414B2F" w:rsidRDefault="00414B2F" w:rsidP="00414B2F">
      <w:pPr>
        <w:pStyle w:val="CommentText"/>
      </w:pPr>
      <w:r>
        <w:t xml:space="preserve">Lon:  depending on cutomer circumstances, some sections empty.  </w:t>
      </w:r>
    </w:p>
    <w:p w14:paraId="778068D1" w14:textId="77777777" w:rsidR="00414B2F" w:rsidRDefault="00414B2F" w:rsidP="00414B2F">
      <w:pPr>
        <w:pStyle w:val="CommentText"/>
      </w:pPr>
    </w:p>
    <w:p w14:paraId="581D88F0" w14:textId="77777777" w:rsidR="00414B2F" w:rsidRDefault="00414B2F" w:rsidP="00414B2F">
      <w:pPr>
        <w:pStyle w:val="CommentText"/>
      </w:pPr>
      <w:r>
        <w:t>Lindsay:  yes.</w:t>
      </w:r>
    </w:p>
  </w:comment>
  <w:comment w:id="2" w:author="Olive,Kelly J (BPA) - PSS-6" w:date="2024-09-17T15:27:00Z" w:initials="OJ(P6">
    <w:p w14:paraId="49437E1B" w14:textId="77777777" w:rsidR="00414B2F" w:rsidRDefault="00A14C10" w:rsidP="00414B2F">
      <w:pPr>
        <w:pStyle w:val="CommentText"/>
      </w:pPr>
      <w:r>
        <w:rPr>
          <w:rStyle w:val="CommentReference"/>
        </w:rPr>
        <w:annotationRef/>
      </w:r>
      <w:r w:rsidR="00414B2F">
        <w:t xml:space="preserve">Chris Roden:  would a hybrid resource (gen and battery) go in Exhibit J or Exhibit A? </w:t>
      </w:r>
    </w:p>
    <w:p w14:paraId="3D49B158" w14:textId="77777777" w:rsidR="00414B2F" w:rsidRDefault="00414B2F" w:rsidP="00414B2F">
      <w:pPr>
        <w:pStyle w:val="CommentText"/>
      </w:pPr>
    </w:p>
    <w:p w14:paraId="4F254726" w14:textId="77777777" w:rsidR="00414B2F" w:rsidRDefault="00414B2F" w:rsidP="00414B2F">
      <w:pPr>
        <w:pStyle w:val="CommentText"/>
      </w:pPr>
      <w:r>
        <w:t xml:space="preserve">Lindsay:  think we’d list the storage device here in Exh. J, but put a footnote in table in Exh. A.  </w:t>
      </w:r>
    </w:p>
    <w:p w14:paraId="64274FE6" w14:textId="77777777" w:rsidR="00414B2F" w:rsidRDefault="00414B2F" w:rsidP="00414B2F">
      <w:pPr>
        <w:pStyle w:val="CommentText"/>
      </w:pPr>
    </w:p>
    <w:p w14:paraId="48BC43C0" w14:textId="77777777" w:rsidR="00414B2F" w:rsidRDefault="00414B2F" w:rsidP="00414B2F">
      <w:pPr>
        <w:pStyle w:val="CommentText"/>
      </w:pPr>
      <w:r>
        <w:t xml:space="preserve">Wally:  agree, footnote in Exhibit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4A06C78" w15:done="0"/>
  <w15:commentEx w15:paraId="581D88F0" w15:done="0"/>
  <w15:commentEx w15:paraId="48BC43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C08A35C" w16cex:dateUtc="2024-09-17T22:26:00Z"/>
  <w16cex:commentExtensible w16cex:durableId="18D39065" w16cex:dateUtc="2024-09-17T22:22:00Z"/>
  <w16cex:commentExtensible w16cex:durableId="65B4B280" w16cex:dateUtc="2024-09-17T2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A06C78" w16cid:durableId="0C08A35C"/>
  <w16cid:commentId w16cid:paraId="581D88F0" w16cid:durableId="18D39065"/>
  <w16cid:commentId w16cid:paraId="48BC43C0" w16cid:durableId="65B4B2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6BEE1" w14:textId="77777777" w:rsidR="00B9266C" w:rsidRDefault="00B9266C" w:rsidP="00CD0E14">
      <w:r>
        <w:separator/>
      </w:r>
    </w:p>
  </w:endnote>
  <w:endnote w:type="continuationSeparator" w:id="0">
    <w:p w14:paraId="322B632D" w14:textId="77777777" w:rsidR="00B9266C" w:rsidRDefault="00B9266C" w:rsidP="00CD0E14">
      <w:r>
        <w:continuationSeparator/>
      </w:r>
    </w:p>
  </w:endnote>
  <w:endnote w:type="continuationNotice" w:id="1">
    <w:p w14:paraId="21EA219F" w14:textId="77777777" w:rsidR="00B9266C" w:rsidRDefault="00B926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9743C" w14:textId="7D6B4E5E" w:rsidR="00EA35B7" w:rsidRPr="004B6EC7" w:rsidRDefault="00EA35B7" w:rsidP="00A33C53">
    <w:pPr>
      <w:pStyle w:val="Footer"/>
      <w:rPr>
        <w:sz w:val="20"/>
        <w:szCs w:val="20"/>
      </w:rPr>
    </w:pPr>
  </w:p>
  <w:p w14:paraId="64ECC769" w14:textId="77777777" w:rsidR="00EA35B7" w:rsidRPr="004B6EC7" w:rsidRDefault="00EA35B7" w:rsidP="00EA35B7">
    <w:pPr>
      <w:pStyle w:val="Footer"/>
      <w:jc w:val="center"/>
      <w:rPr>
        <w:sz w:val="20"/>
        <w:szCs w:val="20"/>
      </w:rPr>
    </w:pPr>
  </w:p>
  <w:p w14:paraId="6AAAE806" w14:textId="77777777" w:rsidR="00EA35B7" w:rsidRDefault="00EA35B7" w:rsidP="00EA35B7">
    <w:pPr>
      <w:pStyle w:val="Footer"/>
      <w:jc w:val="center"/>
    </w:pPr>
    <w:r>
      <w:rPr>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AED26" w14:textId="77777777" w:rsidR="00B9266C" w:rsidRDefault="00B9266C" w:rsidP="00CD0E14">
      <w:r>
        <w:separator/>
      </w:r>
    </w:p>
  </w:footnote>
  <w:footnote w:type="continuationSeparator" w:id="0">
    <w:p w14:paraId="69FE2F30" w14:textId="77777777" w:rsidR="00B9266C" w:rsidRDefault="00B9266C" w:rsidP="00CD0E14">
      <w:r>
        <w:continuationSeparator/>
      </w:r>
    </w:p>
  </w:footnote>
  <w:footnote w:type="continuationNotice" w:id="1">
    <w:p w14:paraId="5F442493" w14:textId="77777777" w:rsidR="00B9266C" w:rsidRDefault="00B926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D66D7"/>
    <w:multiLevelType w:val="hybridMultilevel"/>
    <w:tmpl w:val="10840E04"/>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19BC070A"/>
    <w:multiLevelType w:val="hybridMultilevel"/>
    <w:tmpl w:val="2A926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64BB9"/>
    <w:multiLevelType w:val="hybridMultilevel"/>
    <w:tmpl w:val="56600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F7A9A"/>
    <w:multiLevelType w:val="hybridMultilevel"/>
    <w:tmpl w:val="7B644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B6580B"/>
    <w:multiLevelType w:val="hybridMultilevel"/>
    <w:tmpl w:val="7900607C"/>
    <w:lvl w:ilvl="0" w:tplc="21645D94">
      <w:start w:val="1"/>
      <w:numFmt w:val="upperLetter"/>
      <w:lvlText w:val="(%1)"/>
      <w:lvlJc w:val="left"/>
      <w:pPr>
        <w:ind w:left="2880" w:hanging="72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 w15:restartNumberingAfterBreak="0">
    <w:nsid w:val="75324A59"/>
    <w:multiLevelType w:val="hybridMultilevel"/>
    <w:tmpl w:val="0BCC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3114272">
    <w:abstractNumId w:val="3"/>
  </w:num>
  <w:num w:numId="2" w16cid:durableId="135805078">
    <w:abstractNumId w:val="0"/>
  </w:num>
  <w:num w:numId="3" w16cid:durableId="1470137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2605118">
    <w:abstractNumId w:val="1"/>
  </w:num>
  <w:num w:numId="5" w16cid:durableId="1995136714">
    <w:abstractNumId w:val="4"/>
  </w:num>
  <w:num w:numId="6" w16cid:durableId="1303657199">
    <w:abstractNumId w:val="2"/>
  </w:num>
  <w:num w:numId="7" w16cid:durableId="32416818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e,Kelly J (BPA) - PSS-6">
    <w15:presenceInfo w15:providerId="AD" w15:userId="S-1-5-21-2009805145-1601463483-1839490880-19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991"/>
    <w:rsid w:val="00003E67"/>
    <w:rsid w:val="000516C8"/>
    <w:rsid w:val="00064CFA"/>
    <w:rsid w:val="00090A73"/>
    <w:rsid w:val="000C30F8"/>
    <w:rsid w:val="001549E0"/>
    <w:rsid w:val="0015508B"/>
    <w:rsid w:val="00162B0D"/>
    <w:rsid w:val="001B0F46"/>
    <w:rsid w:val="001C2896"/>
    <w:rsid w:val="001E3F20"/>
    <w:rsid w:val="00226BD3"/>
    <w:rsid w:val="00244BDE"/>
    <w:rsid w:val="00250FDE"/>
    <w:rsid w:val="00251720"/>
    <w:rsid w:val="00254985"/>
    <w:rsid w:val="00291F7C"/>
    <w:rsid w:val="002D1070"/>
    <w:rsid w:val="002D60B0"/>
    <w:rsid w:val="002E14DD"/>
    <w:rsid w:val="002E6984"/>
    <w:rsid w:val="002E7820"/>
    <w:rsid w:val="00305A67"/>
    <w:rsid w:val="00307DF2"/>
    <w:rsid w:val="00312AEC"/>
    <w:rsid w:val="00320B44"/>
    <w:rsid w:val="00345225"/>
    <w:rsid w:val="003662B3"/>
    <w:rsid w:val="003940D5"/>
    <w:rsid w:val="003A21B4"/>
    <w:rsid w:val="003C37B2"/>
    <w:rsid w:val="003E7A77"/>
    <w:rsid w:val="00402AD7"/>
    <w:rsid w:val="00414B2F"/>
    <w:rsid w:val="00414D47"/>
    <w:rsid w:val="00485AF1"/>
    <w:rsid w:val="004A11F9"/>
    <w:rsid w:val="004A43E0"/>
    <w:rsid w:val="004A6799"/>
    <w:rsid w:val="004B388E"/>
    <w:rsid w:val="004C1FAF"/>
    <w:rsid w:val="004E2DF4"/>
    <w:rsid w:val="004F0CE3"/>
    <w:rsid w:val="004F7E44"/>
    <w:rsid w:val="00501B89"/>
    <w:rsid w:val="00502886"/>
    <w:rsid w:val="00543374"/>
    <w:rsid w:val="00556617"/>
    <w:rsid w:val="0058437E"/>
    <w:rsid w:val="0058727F"/>
    <w:rsid w:val="005B5233"/>
    <w:rsid w:val="005B7088"/>
    <w:rsid w:val="005C750C"/>
    <w:rsid w:val="005D0881"/>
    <w:rsid w:val="0061467E"/>
    <w:rsid w:val="006316AE"/>
    <w:rsid w:val="0063282B"/>
    <w:rsid w:val="006443CD"/>
    <w:rsid w:val="0068052D"/>
    <w:rsid w:val="00680BD9"/>
    <w:rsid w:val="006A13A2"/>
    <w:rsid w:val="006E2FB6"/>
    <w:rsid w:val="006F4D1F"/>
    <w:rsid w:val="00735C39"/>
    <w:rsid w:val="00761673"/>
    <w:rsid w:val="007A36B7"/>
    <w:rsid w:val="007B42BA"/>
    <w:rsid w:val="007B68F5"/>
    <w:rsid w:val="007D1DDE"/>
    <w:rsid w:val="00833A5A"/>
    <w:rsid w:val="00850FCC"/>
    <w:rsid w:val="00881941"/>
    <w:rsid w:val="008943E3"/>
    <w:rsid w:val="00897A82"/>
    <w:rsid w:val="00897E94"/>
    <w:rsid w:val="008B5E65"/>
    <w:rsid w:val="008D2135"/>
    <w:rsid w:val="008D2E6F"/>
    <w:rsid w:val="00904D92"/>
    <w:rsid w:val="009105BA"/>
    <w:rsid w:val="00911ECA"/>
    <w:rsid w:val="00922DCA"/>
    <w:rsid w:val="00937850"/>
    <w:rsid w:val="00941919"/>
    <w:rsid w:val="00962F82"/>
    <w:rsid w:val="00973BFF"/>
    <w:rsid w:val="009F5A1D"/>
    <w:rsid w:val="009F6566"/>
    <w:rsid w:val="00A14C10"/>
    <w:rsid w:val="00A312A5"/>
    <w:rsid w:val="00A33C53"/>
    <w:rsid w:val="00A57991"/>
    <w:rsid w:val="00A61772"/>
    <w:rsid w:val="00A66A78"/>
    <w:rsid w:val="00A82F9E"/>
    <w:rsid w:val="00AB2A14"/>
    <w:rsid w:val="00AE10B0"/>
    <w:rsid w:val="00B220A8"/>
    <w:rsid w:val="00B4418F"/>
    <w:rsid w:val="00B50421"/>
    <w:rsid w:val="00B617BB"/>
    <w:rsid w:val="00B9266C"/>
    <w:rsid w:val="00BA4335"/>
    <w:rsid w:val="00C130E7"/>
    <w:rsid w:val="00C53373"/>
    <w:rsid w:val="00C5462C"/>
    <w:rsid w:val="00C62495"/>
    <w:rsid w:val="00C82FA7"/>
    <w:rsid w:val="00C85B60"/>
    <w:rsid w:val="00CC1E28"/>
    <w:rsid w:val="00CD0E14"/>
    <w:rsid w:val="00CD3C29"/>
    <w:rsid w:val="00D23CB5"/>
    <w:rsid w:val="00D322EA"/>
    <w:rsid w:val="00D52266"/>
    <w:rsid w:val="00D60DD1"/>
    <w:rsid w:val="00D7443E"/>
    <w:rsid w:val="00D812A5"/>
    <w:rsid w:val="00DA0156"/>
    <w:rsid w:val="00DC4CCA"/>
    <w:rsid w:val="00E048AE"/>
    <w:rsid w:val="00EA35B7"/>
    <w:rsid w:val="00EB578E"/>
    <w:rsid w:val="00F120D9"/>
    <w:rsid w:val="00F15840"/>
    <w:rsid w:val="00F23045"/>
    <w:rsid w:val="00F35DA5"/>
    <w:rsid w:val="00F679CB"/>
    <w:rsid w:val="00F741F8"/>
    <w:rsid w:val="00F840CD"/>
    <w:rsid w:val="00F97C4F"/>
    <w:rsid w:val="00FA4462"/>
    <w:rsid w:val="00FA4958"/>
    <w:rsid w:val="00FE5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0B53D"/>
  <w15:chartTrackingRefBased/>
  <w15:docId w15:val="{2242AC62-2B3A-4808-AB9B-B1A305CD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57991"/>
    <w:rPr>
      <w:rFonts w:ascii="Century Schoolbook" w:eastAsia="Times New Roman" w:hAnsi="Century Schoolbook"/>
      <w:kern w:val="0"/>
      <w:sz w:val="22"/>
      <w14:ligatures w14:val="none"/>
    </w:rPr>
  </w:style>
  <w:style w:type="paragraph" w:styleId="Heading1">
    <w:name w:val="heading 1"/>
    <w:basedOn w:val="Normal"/>
    <w:next w:val="Normal"/>
    <w:link w:val="Heading1Char"/>
    <w:uiPriority w:val="9"/>
    <w:qFormat/>
    <w:rsid w:val="00A579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79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799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799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5799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5799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5799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5799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5799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9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79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799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799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5799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5799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5799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5799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5799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579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79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799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799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579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57991"/>
    <w:rPr>
      <w:i/>
      <w:iCs/>
      <w:color w:val="404040" w:themeColor="text1" w:themeTint="BF"/>
    </w:rPr>
  </w:style>
  <w:style w:type="paragraph" w:styleId="ListParagraph">
    <w:name w:val="List Paragraph"/>
    <w:basedOn w:val="Normal"/>
    <w:uiPriority w:val="34"/>
    <w:qFormat/>
    <w:rsid w:val="00A57991"/>
    <w:pPr>
      <w:ind w:left="720"/>
      <w:contextualSpacing/>
    </w:pPr>
  </w:style>
  <w:style w:type="character" w:styleId="IntenseEmphasis">
    <w:name w:val="Intense Emphasis"/>
    <w:basedOn w:val="DefaultParagraphFont"/>
    <w:uiPriority w:val="21"/>
    <w:qFormat/>
    <w:rsid w:val="00A57991"/>
    <w:rPr>
      <w:i/>
      <w:iCs/>
      <w:color w:val="0F4761" w:themeColor="accent1" w:themeShade="BF"/>
    </w:rPr>
  </w:style>
  <w:style w:type="paragraph" w:styleId="IntenseQuote">
    <w:name w:val="Intense Quote"/>
    <w:basedOn w:val="Normal"/>
    <w:next w:val="Normal"/>
    <w:link w:val="IntenseQuoteChar"/>
    <w:uiPriority w:val="30"/>
    <w:qFormat/>
    <w:rsid w:val="00A579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7991"/>
    <w:rPr>
      <w:i/>
      <w:iCs/>
      <w:color w:val="0F4761" w:themeColor="accent1" w:themeShade="BF"/>
    </w:rPr>
  </w:style>
  <w:style w:type="character" w:styleId="IntenseReference">
    <w:name w:val="Intense Reference"/>
    <w:basedOn w:val="DefaultParagraphFont"/>
    <w:uiPriority w:val="32"/>
    <w:qFormat/>
    <w:rsid w:val="00A57991"/>
    <w:rPr>
      <w:b/>
      <w:bCs/>
      <w:smallCaps/>
      <w:color w:val="0F4761" w:themeColor="accent1" w:themeShade="BF"/>
      <w:spacing w:val="5"/>
    </w:rPr>
  </w:style>
  <w:style w:type="paragraph" w:styleId="NormalIndent">
    <w:name w:val="Normal Indent"/>
    <w:aliases w:val="Recitals"/>
    <w:basedOn w:val="Normal"/>
    <w:rsid w:val="00A57991"/>
    <w:rPr>
      <w:szCs w:val="20"/>
    </w:rPr>
  </w:style>
  <w:style w:type="paragraph" w:styleId="Revision">
    <w:name w:val="Revision"/>
    <w:hidden/>
    <w:uiPriority w:val="99"/>
    <w:semiHidden/>
    <w:rsid w:val="001E3F20"/>
    <w:rPr>
      <w:rFonts w:ascii="Century Schoolbook" w:eastAsia="Times New Roman" w:hAnsi="Century Schoolbook"/>
      <w:kern w:val="0"/>
      <w:sz w:val="22"/>
      <w14:ligatures w14:val="none"/>
    </w:rPr>
  </w:style>
  <w:style w:type="character" w:styleId="CommentReference">
    <w:name w:val="annotation reference"/>
    <w:basedOn w:val="DefaultParagraphFont"/>
    <w:semiHidden/>
    <w:unhideWhenUsed/>
    <w:rsid w:val="001E3F20"/>
    <w:rPr>
      <w:sz w:val="16"/>
      <w:szCs w:val="16"/>
    </w:rPr>
  </w:style>
  <w:style w:type="paragraph" w:styleId="CommentText">
    <w:name w:val="annotation text"/>
    <w:basedOn w:val="Normal"/>
    <w:link w:val="CommentTextChar"/>
    <w:unhideWhenUsed/>
    <w:rsid w:val="001E3F20"/>
    <w:rPr>
      <w:sz w:val="20"/>
      <w:szCs w:val="20"/>
    </w:rPr>
  </w:style>
  <w:style w:type="character" w:customStyle="1" w:styleId="CommentTextChar">
    <w:name w:val="Comment Text Char"/>
    <w:basedOn w:val="DefaultParagraphFont"/>
    <w:link w:val="CommentText"/>
    <w:rsid w:val="001E3F20"/>
    <w:rPr>
      <w:rFonts w:ascii="Century Schoolbook" w:eastAsia="Times New Roman" w:hAnsi="Century Schoolbook"/>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E3F20"/>
    <w:rPr>
      <w:b/>
      <w:bCs/>
    </w:rPr>
  </w:style>
  <w:style w:type="character" w:customStyle="1" w:styleId="CommentSubjectChar">
    <w:name w:val="Comment Subject Char"/>
    <w:basedOn w:val="CommentTextChar"/>
    <w:link w:val="CommentSubject"/>
    <w:uiPriority w:val="99"/>
    <w:semiHidden/>
    <w:rsid w:val="001E3F20"/>
    <w:rPr>
      <w:rFonts w:ascii="Century Schoolbook" w:eastAsia="Times New Roman" w:hAnsi="Century Schoolbook"/>
      <w:b/>
      <w:bCs/>
      <w:kern w:val="0"/>
      <w:sz w:val="20"/>
      <w:szCs w:val="20"/>
      <w14:ligatures w14:val="none"/>
    </w:rPr>
  </w:style>
  <w:style w:type="table" w:styleId="TableGrid">
    <w:name w:val="Table Grid"/>
    <w:basedOn w:val="TableNormal"/>
    <w:uiPriority w:val="39"/>
    <w:rsid w:val="00A66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43E3"/>
    <w:rPr>
      <w:color w:val="467886" w:themeColor="hyperlink"/>
      <w:u w:val="single"/>
    </w:rPr>
  </w:style>
  <w:style w:type="character" w:styleId="UnresolvedMention">
    <w:name w:val="Unresolved Mention"/>
    <w:basedOn w:val="DefaultParagraphFont"/>
    <w:uiPriority w:val="99"/>
    <w:semiHidden/>
    <w:unhideWhenUsed/>
    <w:rsid w:val="008943E3"/>
    <w:rPr>
      <w:color w:val="605E5C"/>
      <w:shd w:val="clear" w:color="auto" w:fill="E1DFDD"/>
    </w:rPr>
  </w:style>
  <w:style w:type="paragraph" w:styleId="Header">
    <w:name w:val="header"/>
    <w:basedOn w:val="Normal"/>
    <w:link w:val="HeaderChar"/>
    <w:uiPriority w:val="99"/>
    <w:unhideWhenUsed/>
    <w:rsid w:val="00CD0E14"/>
    <w:pPr>
      <w:tabs>
        <w:tab w:val="center" w:pos="4680"/>
        <w:tab w:val="right" w:pos="9360"/>
      </w:tabs>
    </w:pPr>
  </w:style>
  <w:style w:type="character" w:customStyle="1" w:styleId="HeaderChar">
    <w:name w:val="Header Char"/>
    <w:basedOn w:val="DefaultParagraphFont"/>
    <w:link w:val="Header"/>
    <w:uiPriority w:val="99"/>
    <w:rsid w:val="00CD0E14"/>
    <w:rPr>
      <w:rFonts w:ascii="Century Schoolbook" w:eastAsia="Times New Roman" w:hAnsi="Century Schoolbook"/>
      <w:kern w:val="0"/>
      <w:sz w:val="22"/>
      <w14:ligatures w14:val="none"/>
    </w:rPr>
  </w:style>
  <w:style w:type="paragraph" w:styleId="Footer">
    <w:name w:val="footer"/>
    <w:basedOn w:val="Normal"/>
    <w:link w:val="FooterChar"/>
    <w:uiPriority w:val="99"/>
    <w:unhideWhenUsed/>
    <w:rsid w:val="00CD0E14"/>
    <w:pPr>
      <w:tabs>
        <w:tab w:val="center" w:pos="4680"/>
        <w:tab w:val="right" w:pos="9360"/>
      </w:tabs>
    </w:pPr>
  </w:style>
  <w:style w:type="character" w:customStyle="1" w:styleId="FooterChar">
    <w:name w:val="Footer Char"/>
    <w:basedOn w:val="DefaultParagraphFont"/>
    <w:link w:val="Footer"/>
    <w:uiPriority w:val="99"/>
    <w:rsid w:val="00CD0E14"/>
    <w:rPr>
      <w:rFonts w:ascii="Century Schoolbook" w:eastAsia="Times New Roman" w:hAnsi="Century Schoolbook"/>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154968">
      <w:bodyDiv w:val="1"/>
      <w:marLeft w:val="0"/>
      <w:marRight w:val="0"/>
      <w:marTop w:val="0"/>
      <w:marBottom w:val="0"/>
      <w:divBdr>
        <w:top w:val="none" w:sz="0" w:space="0" w:color="auto"/>
        <w:left w:val="none" w:sz="0" w:space="0" w:color="auto"/>
        <w:bottom w:val="none" w:sz="0" w:space="0" w:color="auto"/>
        <w:right w:val="none" w:sz="0" w:space="0" w:color="auto"/>
      </w:divBdr>
    </w:div>
    <w:div w:id="537665771">
      <w:bodyDiv w:val="1"/>
      <w:marLeft w:val="0"/>
      <w:marRight w:val="0"/>
      <w:marTop w:val="0"/>
      <w:marBottom w:val="0"/>
      <w:divBdr>
        <w:top w:val="none" w:sz="0" w:space="0" w:color="auto"/>
        <w:left w:val="none" w:sz="0" w:space="0" w:color="auto"/>
        <w:bottom w:val="none" w:sz="0" w:space="0" w:color="auto"/>
        <w:right w:val="none" w:sz="0" w:space="0" w:color="auto"/>
      </w:divBdr>
    </w:div>
    <w:div w:id="984316803">
      <w:bodyDiv w:val="1"/>
      <w:marLeft w:val="0"/>
      <w:marRight w:val="0"/>
      <w:marTop w:val="0"/>
      <w:marBottom w:val="0"/>
      <w:divBdr>
        <w:top w:val="none" w:sz="0" w:space="0" w:color="auto"/>
        <w:left w:val="none" w:sz="0" w:space="0" w:color="auto"/>
        <w:bottom w:val="none" w:sz="0" w:space="0" w:color="auto"/>
        <w:right w:val="none" w:sz="0" w:space="0" w:color="auto"/>
      </w:divBdr>
    </w:div>
    <w:div w:id="1098136631">
      <w:bodyDiv w:val="1"/>
      <w:marLeft w:val="0"/>
      <w:marRight w:val="0"/>
      <w:marTop w:val="0"/>
      <w:marBottom w:val="0"/>
      <w:divBdr>
        <w:top w:val="none" w:sz="0" w:space="0" w:color="auto"/>
        <w:left w:val="none" w:sz="0" w:space="0" w:color="auto"/>
        <w:bottom w:val="none" w:sz="0" w:space="0" w:color="auto"/>
        <w:right w:val="none" w:sz="0" w:space="0" w:color="auto"/>
      </w:divBdr>
    </w:div>
    <w:div w:id="1330254023">
      <w:bodyDiv w:val="1"/>
      <w:marLeft w:val="0"/>
      <w:marRight w:val="0"/>
      <w:marTop w:val="0"/>
      <w:marBottom w:val="0"/>
      <w:divBdr>
        <w:top w:val="none" w:sz="0" w:space="0" w:color="auto"/>
        <w:left w:val="none" w:sz="0" w:space="0" w:color="auto"/>
        <w:bottom w:val="none" w:sz="0" w:space="0" w:color="auto"/>
        <w:right w:val="none" w:sz="0" w:space="0" w:color="auto"/>
      </w:divBdr>
    </w:div>
    <w:div w:id="213112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9" ma:contentTypeDescription="Create a new document." ma:contentTypeScope="" ma:versionID="ee5f79cdfb7be593a6a070401740e247">
  <xsd:schema xmlns:xsd="http://www.w3.org/2001/XMLSchema" xmlns:xs="http://www.w3.org/2001/XMLSchema" xmlns:p="http://schemas.microsoft.com/office/2006/metadata/properties" xmlns:ns2="09ccca0f-ee24-4c0d-8a9b-6cfbfc3ae17b" targetNamespace="http://schemas.microsoft.com/office/2006/metadata/properties" ma:root="true" ma:fieldsID="66a5df4aafd2cfec391f909a581a14b1" ns2:_="">
    <xsd:import namespace="09ccca0f-ee24-4c0d-8a9b-6cfbfc3ae17b"/>
    <xsd:element name="properties">
      <xsd:complexType>
        <xsd:sequence>
          <xsd:element name="documentManagement">
            <xsd:complexType>
              <xsd:all>
                <xsd:element ref="ns2:Workshop_x002d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 xsi:nil="true"/>
  </documentManagement>
</p:properties>
</file>

<file path=customXml/itemProps1.xml><?xml version="1.0" encoding="utf-8"?>
<ds:datastoreItem xmlns:ds="http://schemas.openxmlformats.org/officeDocument/2006/customXml" ds:itemID="{BF2F2282-4EAC-43E3-88C7-205FE37B4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BDD980-6F24-4076-839D-DC40B8980293}">
  <ds:schemaRefs>
    <ds:schemaRef ds:uri="http://schemas.microsoft.com/sharepoint/v3/contenttype/forms"/>
  </ds:schemaRefs>
</ds:datastoreItem>
</file>

<file path=customXml/itemProps3.xml><?xml version="1.0" encoding="utf-8"?>
<ds:datastoreItem xmlns:ds="http://schemas.openxmlformats.org/officeDocument/2006/customXml" ds:itemID="{063F0FF1-F9B7-458B-AD3D-2D060DBD023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9ccca0f-ee24-4c0d-8a9b-6cfbfc3ae17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Olive,Kelly J (BPA) - PSS-6</dc:creator>
  <cp:keywords/>
  <dc:description/>
  <cp:lastModifiedBy>Schaefer,Tara C (CONTR) - PS-6</cp:lastModifiedBy>
  <cp:revision>2</cp:revision>
  <dcterms:created xsi:type="dcterms:W3CDTF">2024-09-19T16:43:00Z</dcterms:created>
  <dcterms:modified xsi:type="dcterms:W3CDTF">2024-09-19T16:43:00Z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