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76E2" w14:textId="77777777" w:rsidR="008672E3" w:rsidRPr="006628C6" w:rsidRDefault="008672E3" w:rsidP="004F4991">
      <w:pPr>
        <w:tabs>
          <w:tab w:val="left" w:pos="1980"/>
        </w:tabs>
        <w:rPr>
          <w:b/>
          <w:bCs/>
          <w:i/>
          <w:iCs/>
        </w:rPr>
      </w:pPr>
      <w:bookmarkStart w:id="0" w:name="_Hlk161674016"/>
      <w:bookmarkStart w:id="1" w:name="OLE_LINK136"/>
      <w:bookmarkStart w:id="2" w:name="OLE_LINK137"/>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441C85AE" w14:textId="77777777" w:rsidR="008672E3" w:rsidRPr="006628C6" w:rsidRDefault="008672E3" w:rsidP="008672E3">
      <w:pPr>
        <w:rPr>
          <w:b/>
          <w:bCs/>
        </w:rPr>
      </w:pPr>
    </w:p>
    <w:p w14:paraId="15414C4A" w14:textId="77777777" w:rsidR="008672E3" w:rsidRDefault="008672E3" w:rsidP="008672E3">
      <w:pPr>
        <w:rPr>
          <w:b/>
          <w:bCs/>
        </w:rPr>
      </w:pPr>
    </w:p>
    <w:p w14:paraId="6CAFED16" w14:textId="77777777" w:rsidR="00E971B7" w:rsidRDefault="008672E3" w:rsidP="008672E3">
      <w:r>
        <w:rPr>
          <w:b/>
          <w:bCs/>
        </w:rPr>
        <w:t>Summary of Changes:</w:t>
      </w:r>
      <w:r>
        <w:t xml:space="preserve"> </w:t>
      </w:r>
      <w:r w:rsidR="004A1FAD">
        <w:t>BPA</w:t>
      </w:r>
      <w:r>
        <w:t xml:space="preserve"> is proposing to delete </w:t>
      </w:r>
      <w:r w:rsidR="006A1D2E">
        <w:t xml:space="preserve">the </w:t>
      </w:r>
      <w:r w:rsidR="006A1D2E" w:rsidRPr="006A1D2E">
        <w:t>Baseline Delivery Percentages and Amounts</w:t>
      </w:r>
      <w:r w:rsidR="006A1D2E">
        <w:t xml:space="preserve"> provision in Exhibit D</w:t>
      </w:r>
      <w:r>
        <w:t xml:space="preserve"> from the </w:t>
      </w:r>
      <w:r w:rsidR="006A1D2E">
        <w:t xml:space="preserve">POC </w:t>
      </w:r>
      <w:r>
        <w:t>template. It is no longer needed. Section 14.7 of the body of the POC contract</w:t>
      </w:r>
      <w:r w:rsidR="00E971B7">
        <w:t>,</w:t>
      </w:r>
      <w:r>
        <w:t xml:space="preserve"> which pointed to this section of Exhibit D</w:t>
      </w:r>
      <w:r w:rsidR="006A1D2E">
        <w:t xml:space="preserve"> under the Regional Dialogue (RD) template</w:t>
      </w:r>
      <w:r w:rsidR="00E971B7">
        <w:t>,</w:t>
      </w:r>
      <w:r>
        <w:t xml:space="preserve"> </w:t>
      </w:r>
      <w:r w:rsidR="004A1FAD" w:rsidRPr="004A1FAD">
        <w:t>is proposed to be</w:t>
      </w:r>
      <w:r>
        <w:t xml:space="preserve"> entirely replaced with different language</w:t>
      </w:r>
      <w:r w:rsidR="00E01251">
        <w:t>.</w:t>
      </w:r>
      <w:r w:rsidR="004A1FAD">
        <w:t xml:space="preserve"> </w:t>
      </w:r>
      <w:r w:rsidR="00E01251">
        <w:t xml:space="preserve">See the draft of </w:t>
      </w:r>
      <w:r w:rsidR="004A1FAD">
        <w:t>s</w:t>
      </w:r>
      <w:r w:rsidR="004A1FAD" w:rsidRPr="004A1FAD">
        <w:t>ection 14</w:t>
      </w:r>
      <w:r w:rsidR="00E01251">
        <w:t>.</w:t>
      </w:r>
      <w:r w:rsidR="006A1D2E">
        <w:t xml:space="preserve"> </w:t>
      </w:r>
    </w:p>
    <w:p w14:paraId="621DB20E" w14:textId="77777777" w:rsidR="00E971B7" w:rsidRDefault="00E971B7" w:rsidP="008672E3"/>
    <w:p w14:paraId="051871D4" w14:textId="342748B9" w:rsidR="008672E3" w:rsidRDefault="006A1D2E" w:rsidP="008672E3">
      <w:r>
        <w:t xml:space="preserve">The proposed revised section 14.7 of the POC template </w:t>
      </w:r>
      <w:r w:rsidR="004A1FAD" w:rsidRPr="004A1FAD">
        <w:t>introduce</w:t>
      </w:r>
      <w:r w:rsidR="00E971B7">
        <w:t>s</w:t>
      </w:r>
      <w:r w:rsidR="004A1FAD" w:rsidRPr="004A1FAD">
        <w:t xml:space="preserve"> </w:t>
      </w:r>
      <w:r w:rsidR="00E971B7">
        <w:t xml:space="preserve">the concept of a </w:t>
      </w:r>
      <w:r w:rsidR="004A1FAD" w:rsidRPr="004A1FAD">
        <w:t>Delivery Plan</w:t>
      </w:r>
      <w:r w:rsidR="00E971B7">
        <w:t>, which is</w:t>
      </w:r>
      <w:r w:rsidR="00E971B7" w:rsidRPr="00E971B7">
        <w:rPr>
          <w:szCs w:val="22"/>
        </w:rPr>
        <w:t xml:space="preserve"> </w:t>
      </w:r>
      <w:r w:rsidR="00E971B7" w:rsidRPr="00F44F31">
        <w:rPr>
          <w:szCs w:val="22"/>
        </w:rPr>
        <w:t xml:space="preserve">the plan for each Dedicated Resource serving </w:t>
      </w:r>
      <w:r w:rsidR="00E971B7" w:rsidRPr="00E971B7">
        <w:rPr>
          <w:szCs w:val="22"/>
        </w:rPr>
        <w:t xml:space="preserve">a customer’s load </w:t>
      </w:r>
      <w:r w:rsidR="00E971B7" w:rsidRPr="00F44F31">
        <w:rPr>
          <w:szCs w:val="22"/>
        </w:rPr>
        <w:t>or Consumer-Owned Resource serving On-Site Consumer Load that states the transmission system of the load that resource will serve</w:t>
      </w:r>
      <w:r w:rsidR="00EB115B">
        <w:t xml:space="preserve">. </w:t>
      </w:r>
      <w:r w:rsidR="004A1FAD">
        <w:t xml:space="preserve">BPA </w:t>
      </w:r>
      <w:r w:rsidR="00EB115B">
        <w:t>propos</w:t>
      </w:r>
      <w:r w:rsidR="004A1FAD">
        <w:t>es</w:t>
      </w:r>
      <w:r w:rsidR="00EB115B">
        <w:t xml:space="preserve"> to add </w:t>
      </w:r>
      <w:r w:rsidR="004A1FAD">
        <w:t>a field for Delivery Plan</w:t>
      </w:r>
      <w:r w:rsidR="00EB115B">
        <w:t xml:space="preserve"> to</w:t>
      </w:r>
      <w:r>
        <w:t xml:space="preserve"> the Dedicated Resources and Consumer-Owned Resources sections of the POC Exhibit A.</w:t>
      </w:r>
    </w:p>
    <w:p w14:paraId="15D3754F" w14:textId="77777777" w:rsidR="008672E3" w:rsidRDefault="008672E3" w:rsidP="008672E3"/>
    <w:p w14:paraId="2A0F9B57" w14:textId="6A8503F3" w:rsidR="008672E3" w:rsidRDefault="008672E3" w:rsidP="008672E3">
      <w:r>
        <w:rPr>
          <w:b/>
          <w:bCs/>
        </w:rPr>
        <w:t>Edits of Particular Note:</w:t>
      </w:r>
      <w:r w:rsidRPr="00EB115B">
        <w:t xml:space="preserve"> </w:t>
      </w:r>
      <w:r w:rsidR="00EB115B" w:rsidRPr="00EB115B">
        <w:t>N/A</w:t>
      </w:r>
    </w:p>
    <w:bookmarkEnd w:id="0"/>
    <w:p w14:paraId="33C724BC" w14:textId="77777777" w:rsidR="008672E3" w:rsidRDefault="008672E3" w:rsidP="008672E3">
      <w:pPr>
        <w:ind w:left="720" w:hanging="720"/>
        <w:rPr>
          <w:b/>
          <w:szCs w:val="22"/>
        </w:rPr>
      </w:pPr>
    </w:p>
    <w:p w14:paraId="34C8F619" w14:textId="7B04324A" w:rsidR="008672E3" w:rsidRDefault="008672E3" w:rsidP="008672E3">
      <w:pPr>
        <w:spacing w:line="240" w:lineRule="atLeast"/>
        <w:rPr>
          <w:szCs w:val="22"/>
        </w:rPr>
      </w:pPr>
      <w:r>
        <w:rPr>
          <w:szCs w:val="22"/>
        </w:rPr>
        <w:t>***</w:t>
      </w:r>
    </w:p>
    <w:p w14:paraId="45E1AC43" w14:textId="6B26DC86" w:rsidR="006A1D2E" w:rsidRPr="00FF3385" w:rsidRDefault="006A1D2E" w:rsidP="006A1D2E">
      <w:pPr>
        <w:keepNext/>
        <w:autoSpaceDE w:val="0"/>
        <w:autoSpaceDN w:val="0"/>
        <w:adjustRightInd w:val="0"/>
        <w:rPr>
          <w:rFonts w:cs="Century Schoolbook"/>
          <w:b/>
          <w:bCs/>
          <w:szCs w:val="22"/>
        </w:rPr>
      </w:pPr>
      <w:r w:rsidRPr="006A1D2E">
        <w:rPr>
          <w:rFonts w:cs="Century Schoolbook"/>
          <w:b/>
          <w:bCs/>
          <w:szCs w:val="22"/>
        </w:rPr>
        <w:t xml:space="preserve">Section </w:t>
      </w:r>
      <w:r w:rsidRPr="00FF3385">
        <w:rPr>
          <w:rFonts w:cs="Century Schoolbook"/>
          <w:b/>
          <w:bCs/>
          <w:color w:val="FF0000"/>
          <w:szCs w:val="22"/>
        </w:rPr>
        <w:t>«#»</w:t>
      </w:r>
      <w:r>
        <w:rPr>
          <w:rFonts w:cs="Century Schoolbook"/>
          <w:b/>
          <w:bCs/>
          <w:szCs w:val="22"/>
        </w:rPr>
        <w:t xml:space="preserve"> of</w:t>
      </w:r>
      <w:r w:rsidRPr="006A1D2E">
        <w:rPr>
          <w:rFonts w:cs="Century Schoolbook"/>
          <w:b/>
          <w:bCs/>
          <w:szCs w:val="22"/>
        </w:rPr>
        <w:t xml:space="preserve"> Exhibit D</w:t>
      </w:r>
      <w:r>
        <w:rPr>
          <w:rFonts w:cs="Century Schoolbook"/>
          <w:b/>
          <w:bCs/>
          <w:szCs w:val="22"/>
        </w:rPr>
        <w:t>:</w:t>
      </w:r>
      <w:r w:rsidRPr="006A1D2E">
        <w:rPr>
          <w:rFonts w:cs="Century Schoolbook"/>
          <w:b/>
          <w:bCs/>
          <w:szCs w:val="22"/>
        </w:rPr>
        <w:t xml:space="preserve"> Baseline Delivery Percentages </w:t>
      </w:r>
      <w:r>
        <w:rPr>
          <w:rFonts w:cs="Century Schoolbook"/>
          <w:b/>
          <w:bCs/>
          <w:szCs w:val="22"/>
        </w:rPr>
        <w:t>a</w:t>
      </w:r>
      <w:r w:rsidRPr="006A1D2E">
        <w:rPr>
          <w:rFonts w:cs="Century Schoolbook"/>
          <w:b/>
          <w:bCs/>
          <w:szCs w:val="22"/>
        </w:rPr>
        <w:t>nd Amounts</w:t>
      </w:r>
    </w:p>
    <w:p w14:paraId="2CCED5BC" w14:textId="77777777" w:rsidR="006A1D2E" w:rsidRPr="009708FE" w:rsidRDefault="006A1D2E" w:rsidP="008672E3">
      <w:pPr>
        <w:spacing w:line="240" w:lineRule="atLeast"/>
        <w:rPr>
          <w:szCs w:val="22"/>
        </w:rPr>
      </w:pPr>
    </w:p>
    <w:p w14:paraId="1C95F606" w14:textId="77777777" w:rsidR="008672E3" w:rsidRPr="006A1D2E" w:rsidRDefault="008672E3" w:rsidP="008672E3">
      <w:pPr>
        <w:keepNext/>
        <w:spacing w:line="240" w:lineRule="atLeast"/>
        <w:rPr>
          <w:i/>
          <w:strike/>
          <w:color w:val="FF0000"/>
          <w:szCs w:val="22"/>
        </w:rPr>
      </w:pPr>
      <w:r w:rsidRPr="006A1D2E">
        <w:rPr>
          <w:i/>
          <w:strike/>
          <w:color w:val="FF0000"/>
          <w:szCs w:val="22"/>
          <w:u w:val="single"/>
        </w:rPr>
        <w:t>Drafter’s Note</w:t>
      </w:r>
      <w:r w:rsidRPr="006A1D2E">
        <w:rPr>
          <w:i/>
          <w:strike/>
          <w:color w:val="FF0000"/>
          <w:szCs w:val="22"/>
        </w:rPr>
        <w:t xml:space="preserve">:  Include the following for </w:t>
      </w:r>
      <w:r w:rsidRPr="006A1D2E">
        <w:rPr>
          <w:rFonts w:cs="Arial"/>
          <w:i/>
          <w:strike/>
          <w:color w:val="FF0000"/>
          <w:szCs w:val="22"/>
        </w:rPr>
        <w:t xml:space="preserve">customers served by Transfer Service with load interconnected to multiple transmission systems.  </w:t>
      </w:r>
      <w:r w:rsidRPr="006A1D2E">
        <w:rPr>
          <w:i/>
          <w:strike/>
          <w:color w:val="FF0000"/>
          <w:szCs w:val="22"/>
        </w:rPr>
        <w:t>The entire provision included below represents two separate contract revisions offered to customers.  See section 14.7 of the body of the Agreement for more information.</w:t>
      </w:r>
    </w:p>
    <w:p w14:paraId="400C0EF5" w14:textId="77777777" w:rsidR="008672E3" w:rsidRPr="006A1D2E" w:rsidRDefault="008672E3" w:rsidP="008672E3">
      <w:pPr>
        <w:keepNext/>
        <w:autoSpaceDE w:val="0"/>
        <w:autoSpaceDN w:val="0"/>
        <w:adjustRightInd w:val="0"/>
        <w:rPr>
          <w:rFonts w:cs="Century Schoolbook"/>
          <w:b/>
          <w:bCs/>
          <w:strike/>
          <w:color w:val="FF0000"/>
          <w:szCs w:val="22"/>
        </w:rPr>
      </w:pPr>
      <w:r w:rsidRPr="006A1D2E">
        <w:rPr>
          <w:rFonts w:cs="Century Schoolbook"/>
          <w:b/>
          <w:bCs/>
          <w:strike/>
          <w:color w:val="FF0000"/>
          <w:szCs w:val="22"/>
        </w:rPr>
        <w:t>«#».</w:t>
      </w:r>
      <w:r w:rsidRPr="006A1D2E">
        <w:rPr>
          <w:rFonts w:cs="Century Schoolbook"/>
          <w:b/>
          <w:bCs/>
          <w:strike/>
          <w:color w:val="FF0000"/>
          <w:szCs w:val="22"/>
        </w:rPr>
        <w:tab/>
        <w:t>BASELINE DELIVERY PERCENTAGES AND AMOUNTS</w:t>
      </w:r>
    </w:p>
    <w:p w14:paraId="29A6B17C" w14:textId="77777777" w:rsidR="008672E3" w:rsidRPr="006A1D2E" w:rsidRDefault="008672E3" w:rsidP="008672E3">
      <w:pPr>
        <w:keepNext/>
        <w:autoSpaceDE w:val="0"/>
        <w:autoSpaceDN w:val="0"/>
        <w:adjustRightInd w:val="0"/>
        <w:ind w:left="720"/>
        <w:rPr>
          <w:rFonts w:cs="Arial"/>
          <w:i/>
          <w:strike/>
          <w:color w:val="FF0000"/>
          <w:szCs w:val="22"/>
        </w:rPr>
      </w:pPr>
      <w:r w:rsidRPr="006A1D2E">
        <w:rPr>
          <w:rFonts w:cs="Arial"/>
          <w:i/>
          <w:strike/>
          <w:color w:val="FF0000"/>
          <w:szCs w:val="22"/>
          <w:u w:val="single"/>
        </w:rPr>
        <w:t>Option 1</w:t>
      </w:r>
      <w:r w:rsidRPr="006A1D2E">
        <w:rPr>
          <w:rFonts w:cs="Arial"/>
          <w:i/>
          <w:strike/>
          <w:color w:val="FF0000"/>
          <w:szCs w:val="22"/>
        </w:rPr>
        <w:t>:  Include for customers that do NOT have an NLSL(s)</w:t>
      </w:r>
    </w:p>
    <w:p w14:paraId="7AF3ABC6" w14:textId="77777777" w:rsidR="008672E3" w:rsidRPr="006A1D2E" w:rsidRDefault="008672E3" w:rsidP="008672E3">
      <w:pPr>
        <w:ind w:left="720"/>
        <w:rPr>
          <w:rFonts w:cs="Century Schoolbook"/>
          <w:strike/>
          <w:color w:val="FF0000"/>
          <w:szCs w:val="22"/>
        </w:rPr>
      </w:pPr>
      <w:r w:rsidRPr="006A1D2E">
        <w:rPr>
          <w:rFonts w:cs="Century Schoolbook"/>
          <w:strike/>
          <w:color w:val="FF0000"/>
          <w:szCs w:val="22"/>
        </w:rPr>
        <w:t xml:space="preserve">«Customer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baseline delivery percentages and amounts, calculated in accordance with section 14.7.1 of the body of this Agreement, are listed in the table below.  For each applicable Rate Period, «Customer Name» shall apply its New Resource(s) to serve its Above-RHWM Load consistent with the baseline delivery percentages and amounts listed in the table below.</w:t>
      </w:r>
    </w:p>
    <w:p w14:paraId="7111C0F0" w14:textId="77777777" w:rsidR="008672E3" w:rsidRPr="006A1D2E" w:rsidRDefault="008672E3" w:rsidP="008672E3">
      <w:pPr>
        <w:ind w:left="720"/>
        <w:rPr>
          <w:rFonts w:cs="Arial"/>
          <w:i/>
          <w:strike/>
          <w:color w:val="FF0000"/>
          <w:szCs w:val="22"/>
        </w:rPr>
      </w:pPr>
      <w:r w:rsidRPr="006A1D2E">
        <w:rPr>
          <w:rFonts w:cs="Arial"/>
          <w:i/>
          <w:strike/>
          <w:color w:val="FF0000"/>
          <w:szCs w:val="22"/>
        </w:rPr>
        <w:t>End Option 1</w:t>
      </w:r>
    </w:p>
    <w:p w14:paraId="5123BAB0" w14:textId="77777777" w:rsidR="008672E3" w:rsidRPr="006A1D2E" w:rsidRDefault="008672E3" w:rsidP="008672E3">
      <w:pPr>
        <w:ind w:left="720"/>
        <w:rPr>
          <w:rFonts w:cs="Century Schoolbook"/>
          <w:strike/>
          <w:color w:val="FF0000"/>
          <w:szCs w:val="22"/>
        </w:rPr>
      </w:pPr>
    </w:p>
    <w:p w14:paraId="62BDC362" w14:textId="77777777" w:rsidR="008672E3" w:rsidRPr="006A1D2E" w:rsidRDefault="008672E3" w:rsidP="008672E3">
      <w:pPr>
        <w:keepNext/>
        <w:rPr>
          <w:rFonts w:cs="Arial"/>
          <w:i/>
          <w:strike/>
          <w:color w:val="FF0000"/>
          <w:szCs w:val="22"/>
          <w:u w:val="single"/>
        </w:rPr>
      </w:pPr>
      <w:r w:rsidRPr="006A1D2E">
        <w:rPr>
          <w:rFonts w:cs="Arial"/>
          <w:i/>
          <w:strike/>
          <w:color w:val="FF0000"/>
          <w:szCs w:val="22"/>
          <w:u w:val="single"/>
        </w:rPr>
        <w:t>Option 2</w:t>
      </w:r>
      <w:r w:rsidRPr="006A1D2E">
        <w:rPr>
          <w:rFonts w:cs="Arial"/>
          <w:i/>
          <w:strike/>
          <w:color w:val="FF0000"/>
          <w:szCs w:val="22"/>
        </w:rPr>
        <w:t>:  Include for customers that HAVE an NLSL(s) or Planned NLSL(s)</w:t>
      </w:r>
      <w:r w:rsidRPr="006A1D2E">
        <w:rPr>
          <w:b/>
          <w:i/>
          <w:strike/>
          <w:vanish/>
          <w:color w:val="FF0000"/>
          <w:szCs w:val="22"/>
        </w:rPr>
        <w:t>(01/10/17 Version)</w:t>
      </w:r>
    </w:p>
    <w:p w14:paraId="24FD7174" w14:textId="77777777" w:rsidR="008672E3" w:rsidRPr="006A1D2E" w:rsidRDefault="008672E3" w:rsidP="008672E3">
      <w:pPr>
        <w:ind w:left="720"/>
        <w:rPr>
          <w:strike/>
          <w:color w:val="FF0000"/>
          <w:szCs w:val="22"/>
        </w:rPr>
      </w:pPr>
      <w:r w:rsidRPr="006A1D2E">
        <w:rPr>
          <w:rFonts w:cs="Century Schoolbook"/>
          <w:strike/>
          <w:color w:val="FF0000"/>
          <w:szCs w:val="22"/>
        </w:rPr>
        <w:t xml:space="preserve">«Customer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baseline delivery percentages and amounts are listed in the table below.  For each applicable Rate Period, «Customer Name» shall apply its New Resource(s) to serve its Above-RHWM Load consistent with the baseline delivery percentages and amounts listed in the table below.  A customer’s NLSL  «(and any applicable Planned NLSLs)» is not part of its Above-RHWM Load eligible for service at the PF rates.  </w:t>
      </w:r>
      <w:r w:rsidRPr="006A1D2E">
        <w:rPr>
          <w:strike/>
          <w:color w:val="FF0000"/>
          <w:szCs w:val="22"/>
        </w:rPr>
        <w:t xml:space="preserve">Since «Customer Name» has «a Planned NLSL </w:t>
      </w:r>
      <w:r w:rsidRPr="006A1D2E">
        <w:rPr>
          <w:i/>
          <w:strike/>
          <w:color w:val="FF0000"/>
          <w:szCs w:val="22"/>
        </w:rPr>
        <w:t>or</w:t>
      </w:r>
      <w:r w:rsidRPr="006A1D2E">
        <w:rPr>
          <w:strike/>
          <w:color w:val="FF0000"/>
          <w:szCs w:val="22"/>
        </w:rPr>
        <w:t xml:space="preserve"> an NLSL» as part of its Total Retail Load, BPA has modified the calculation of «Customer </w:t>
      </w:r>
      <w:proofErr w:type="spellStart"/>
      <w:r w:rsidRPr="006A1D2E">
        <w:rPr>
          <w:strike/>
          <w:color w:val="FF0000"/>
          <w:szCs w:val="22"/>
        </w:rPr>
        <w:t>Name»’s</w:t>
      </w:r>
      <w:proofErr w:type="spellEnd"/>
      <w:r w:rsidRPr="006A1D2E">
        <w:rPr>
          <w:strike/>
          <w:color w:val="FF0000"/>
          <w:szCs w:val="22"/>
        </w:rPr>
        <w:t xml:space="preserve"> baseline percentages and amounts, as stated in section 14.7.1, to exclude such NLSL(s).</w:t>
      </w:r>
    </w:p>
    <w:p w14:paraId="29F6235E" w14:textId="77777777" w:rsidR="008672E3" w:rsidRPr="006A1D2E" w:rsidRDefault="008672E3" w:rsidP="008672E3">
      <w:pPr>
        <w:rPr>
          <w:rFonts w:cs="Arial"/>
          <w:i/>
          <w:strike/>
          <w:color w:val="FF0000"/>
          <w:szCs w:val="22"/>
        </w:rPr>
      </w:pPr>
      <w:r w:rsidRPr="006A1D2E">
        <w:rPr>
          <w:rFonts w:cs="Arial"/>
          <w:i/>
          <w:strike/>
          <w:color w:val="FF0000"/>
          <w:szCs w:val="22"/>
        </w:rPr>
        <w:t>End Option 2</w:t>
      </w:r>
    </w:p>
    <w:p w14:paraId="62B797C6" w14:textId="77777777" w:rsidR="008672E3" w:rsidRPr="006A1D2E" w:rsidRDefault="008672E3" w:rsidP="008672E3">
      <w:pPr>
        <w:ind w:left="720"/>
        <w:rPr>
          <w:rFonts w:cs="Century Schoolbook"/>
          <w:strike/>
          <w:color w:val="FF0000"/>
          <w:szCs w:val="22"/>
        </w:rPr>
      </w:pPr>
    </w:p>
    <w:p w14:paraId="384683D6" w14:textId="77777777" w:rsidR="008672E3" w:rsidRPr="006A1D2E" w:rsidRDefault="008672E3" w:rsidP="008672E3">
      <w:pPr>
        <w:keepNext/>
        <w:rPr>
          <w:i/>
          <w:strike/>
          <w:color w:val="FF0000"/>
          <w:szCs w:val="22"/>
        </w:rPr>
      </w:pPr>
      <w:r w:rsidRPr="006A1D2E">
        <w:rPr>
          <w:i/>
          <w:strike/>
          <w:color w:val="FF0000"/>
          <w:szCs w:val="22"/>
          <w:u w:val="single"/>
        </w:rPr>
        <w:t>Drafter’s Note</w:t>
      </w:r>
      <w:r w:rsidRPr="006A1D2E">
        <w:rPr>
          <w:i/>
          <w:strike/>
          <w:color w:val="FF0000"/>
          <w:szCs w:val="22"/>
        </w:rPr>
        <w:t xml:space="preserve">:  Add rows to table as needed to identify multiple transfer system providers.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put zeros in for the percentages and </w:t>
      </w:r>
      <w:proofErr w:type="spellStart"/>
      <w:r w:rsidRPr="006A1D2E">
        <w:rPr>
          <w:i/>
          <w:strike/>
          <w:color w:val="FF0000"/>
          <w:szCs w:val="22"/>
        </w:rPr>
        <w:t>aMW</w:t>
      </w:r>
      <w:proofErr w:type="spellEnd"/>
      <w:r w:rsidRPr="006A1D2E">
        <w:rPr>
          <w:i/>
          <w:strike/>
          <w:color w:val="FF0000"/>
          <w:szCs w:val="22"/>
        </w:rPr>
        <w:t xml:space="preserve">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6A1D2E" w:rsidRPr="006A1D2E" w14:paraId="1F3C8D62" w14:textId="77777777" w:rsidTr="006D462C">
        <w:tc>
          <w:tcPr>
            <w:tcW w:w="8136" w:type="dxa"/>
            <w:gridSpan w:val="4"/>
            <w:shd w:val="clear" w:color="auto" w:fill="auto"/>
          </w:tcPr>
          <w:p w14:paraId="043C7AB8"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Cs w:val="22"/>
              </w:rPr>
              <w:t>Baseline Delivery Percentages and Amounts</w:t>
            </w:r>
          </w:p>
        </w:tc>
      </w:tr>
      <w:tr w:rsidR="006A1D2E" w:rsidRPr="006A1D2E" w14:paraId="46045257" w14:textId="77777777" w:rsidTr="006D462C">
        <w:tc>
          <w:tcPr>
            <w:tcW w:w="2099" w:type="dxa"/>
            <w:shd w:val="clear" w:color="auto" w:fill="auto"/>
          </w:tcPr>
          <w:p w14:paraId="7108A657"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Transmission System</w:t>
            </w:r>
          </w:p>
        </w:tc>
        <w:tc>
          <w:tcPr>
            <w:tcW w:w="2053" w:type="dxa"/>
            <w:shd w:val="clear" w:color="auto" w:fill="auto"/>
          </w:tcPr>
          <w:p w14:paraId="73E24B38"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Baseline Delivery Percentage</w:t>
            </w:r>
          </w:p>
        </w:tc>
        <w:tc>
          <w:tcPr>
            <w:tcW w:w="1988" w:type="dxa"/>
            <w:shd w:val="clear" w:color="auto" w:fill="auto"/>
          </w:tcPr>
          <w:p w14:paraId="4B6C87AC"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De Minimis Amount (</w:t>
            </w:r>
            <w:proofErr w:type="spellStart"/>
            <w:r w:rsidRPr="006A1D2E">
              <w:rPr>
                <w:rFonts w:cs="Century Schoolbook"/>
                <w:b/>
                <w:strike/>
                <w:color w:val="FF0000"/>
                <w:sz w:val="20"/>
                <w:szCs w:val="20"/>
              </w:rPr>
              <w:t>aMW</w:t>
            </w:r>
            <w:proofErr w:type="spellEnd"/>
            <w:r w:rsidRPr="006A1D2E">
              <w:rPr>
                <w:rFonts w:cs="Century Schoolbook"/>
                <w:b/>
                <w:strike/>
                <w:color w:val="FF0000"/>
                <w:sz w:val="20"/>
                <w:szCs w:val="20"/>
              </w:rPr>
              <w:t>)</w:t>
            </w:r>
          </w:p>
        </w:tc>
        <w:tc>
          <w:tcPr>
            <w:tcW w:w="1996" w:type="dxa"/>
            <w:shd w:val="clear" w:color="auto" w:fill="auto"/>
          </w:tcPr>
          <w:p w14:paraId="1D9DB3B8"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Baseline Delivery Amount (</w:t>
            </w:r>
            <w:proofErr w:type="spellStart"/>
            <w:r w:rsidRPr="006A1D2E">
              <w:rPr>
                <w:rFonts w:cs="Century Schoolbook"/>
                <w:b/>
                <w:strike/>
                <w:color w:val="FF0000"/>
                <w:sz w:val="20"/>
                <w:szCs w:val="20"/>
              </w:rPr>
              <w:t>aMW</w:t>
            </w:r>
            <w:proofErr w:type="spellEnd"/>
            <w:r w:rsidRPr="006A1D2E">
              <w:rPr>
                <w:rFonts w:cs="Century Schoolbook"/>
                <w:b/>
                <w:strike/>
                <w:color w:val="FF0000"/>
                <w:sz w:val="20"/>
                <w:szCs w:val="20"/>
              </w:rPr>
              <w:t>)</w:t>
            </w:r>
          </w:p>
        </w:tc>
      </w:tr>
      <w:tr w:rsidR="006A1D2E" w:rsidRPr="006A1D2E" w14:paraId="22E682EF" w14:textId="77777777" w:rsidTr="006D462C">
        <w:tc>
          <w:tcPr>
            <w:tcW w:w="8136" w:type="dxa"/>
            <w:gridSpan w:val="4"/>
            <w:shd w:val="clear" w:color="auto" w:fill="auto"/>
          </w:tcPr>
          <w:p w14:paraId="2ED7ABCC"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Fiscal Year 2012</w:t>
            </w:r>
          </w:p>
        </w:tc>
      </w:tr>
      <w:tr w:rsidR="006A1D2E" w:rsidRPr="006A1D2E" w14:paraId="5E68FC26" w14:textId="77777777" w:rsidTr="006D462C">
        <w:tc>
          <w:tcPr>
            <w:tcW w:w="2099" w:type="dxa"/>
            <w:shd w:val="clear" w:color="auto" w:fill="auto"/>
          </w:tcPr>
          <w:p w14:paraId="0039CBCB" w14:textId="77777777" w:rsidR="008672E3" w:rsidRPr="006A1D2E" w:rsidRDefault="008672E3" w:rsidP="006D462C">
            <w:pPr>
              <w:rPr>
                <w:rFonts w:cs="Century Schoolbook"/>
                <w:strike/>
                <w:color w:val="FF0000"/>
                <w:szCs w:val="22"/>
              </w:rPr>
            </w:pPr>
            <w:r w:rsidRPr="006A1D2E">
              <w:rPr>
                <w:rFonts w:cs="Century Schoolbook"/>
                <w:strike/>
                <w:color w:val="FF0000"/>
                <w:szCs w:val="22"/>
              </w:rPr>
              <w:t>BPAT</w:t>
            </w:r>
          </w:p>
        </w:tc>
        <w:tc>
          <w:tcPr>
            <w:tcW w:w="2053" w:type="dxa"/>
            <w:shd w:val="clear" w:color="auto" w:fill="auto"/>
          </w:tcPr>
          <w:p w14:paraId="444BCA5E"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2A9F44A7"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3B198DFD"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13BF4566" w14:textId="77777777" w:rsidTr="006D462C">
        <w:tc>
          <w:tcPr>
            <w:tcW w:w="2099" w:type="dxa"/>
            <w:shd w:val="clear" w:color="auto" w:fill="auto"/>
          </w:tcPr>
          <w:p w14:paraId="7C9E2474"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053" w:type="dxa"/>
            <w:shd w:val="clear" w:color="auto" w:fill="auto"/>
          </w:tcPr>
          <w:p w14:paraId="59E9707F"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6B8DA9CD"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34B80C5E"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4CAF9924" w14:textId="77777777" w:rsidTr="006D462C">
        <w:tc>
          <w:tcPr>
            <w:tcW w:w="8136" w:type="dxa"/>
            <w:gridSpan w:val="4"/>
            <w:shd w:val="clear" w:color="auto" w:fill="auto"/>
          </w:tcPr>
          <w:p w14:paraId="2BD605F7"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Fiscal Year 2013</w:t>
            </w:r>
          </w:p>
        </w:tc>
      </w:tr>
      <w:tr w:rsidR="006A1D2E" w:rsidRPr="006A1D2E" w14:paraId="37310AED" w14:textId="77777777" w:rsidTr="006D462C">
        <w:tc>
          <w:tcPr>
            <w:tcW w:w="2099" w:type="dxa"/>
            <w:shd w:val="clear" w:color="auto" w:fill="auto"/>
          </w:tcPr>
          <w:p w14:paraId="0792CDB4" w14:textId="77777777" w:rsidR="008672E3" w:rsidRPr="006A1D2E" w:rsidRDefault="008672E3" w:rsidP="006D462C">
            <w:pPr>
              <w:rPr>
                <w:rFonts w:cs="Century Schoolbook"/>
                <w:strike/>
                <w:color w:val="FF0000"/>
                <w:szCs w:val="22"/>
              </w:rPr>
            </w:pPr>
            <w:r w:rsidRPr="006A1D2E">
              <w:rPr>
                <w:rFonts w:cs="Century Schoolbook"/>
                <w:strike/>
                <w:color w:val="FF0000"/>
                <w:szCs w:val="22"/>
              </w:rPr>
              <w:t>BPAT</w:t>
            </w:r>
          </w:p>
        </w:tc>
        <w:tc>
          <w:tcPr>
            <w:tcW w:w="2053" w:type="dxa"/>
            <w:shd w:val="clear" w:color="auto" w:fill="auto"/>
          </w:tcPr>
          <w:p w14:paraId="25EA1AC7"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21121A76"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4E8DF65C"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2945DEBF" w14:textId="77777777" w:rsidTr="006D462C">
        <w:tc>
          <w:tcPr>
            <w:tcW w:w="2099" w:type="dxa"/>
            <w:shd w:val="clear" w:color="auto" w:fill="auto"/>
          </w:tcPr>
          <w:p w14:paraId="6F7D0853"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053" w:type="dxa"/>
            <w:shd w:val="clear" w:color="auto" w:fill="auto"/>
          </w:tcPr>
          <w:p w14:paraId="2AB55D60"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0ACC0438"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4FCA91BD"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3D00C6B9" w14:textId="77777777" w:rsidTr="006D462C">
        <w:tc>
          <w:tcPr>
            <w:tcW w:w="8136" w:type="dxa"/>
            <w:gridSpan w:val="4"/>
            <w:shd w:val="clear" w:color="auto" w:fill="auto"/>
          </w:tcPr>
          <w:p w14:paraId="787F0C1E" w14:textId="77777777" w:rsidR="008672E3" w:rsidRPr="006A1D2E" w:rsidRDefault="008672E3" w:rsidP="006D462C">
            <w:pPr>
              <w:jc w:val="center"/>
              <w:rPr>
                <w:rFonts w:cs="Century Schoolbook"/>
                <w:strike/>
                <w:color w:val="FF0000"/>
                <w:szCs w:val="22"/>
              </w:rPr>
            </w:pPr>
            <w:r w:rsidRPr="006A1D2E">
              <w:rPr>
                <w:rFonts w:cs="Century Schoolbook"/>
                <w:b/>
                <w:strike/>
                <w:color w:val="FF0000"/>
                <w:sz w:val="20"/>
                <w:szCs w:val="20"/>
              </w:rPr>
              <w:t>Fiscal Year 2014</w:t>
            </w:r>
          </w:p>
        </w:tc>
      </w:tr>
      <w:tr w:rsidR="006A1D2E" w:rsidRPr="006A1D2E" w14:paraId="17B3A4E5" w14:textId="77777777" w:rsidTr="006D462C">
        <w:tc>
          <w:tcPr>
            <w:tcW w:w="2099" w:type="dxa"/>
            <w:shd w:val="clear" w:color="auto" w:fill="auto"/>
          </w:tcPr>
          <w:p w14:paraId="61D4695E" w14:textId="77777777" w:rsidR="008672E3" w:rsidRPr="006A1D2E" w:rsidRDefault="008672E3" w:rsidP="006D462C">
            <w:pPr>
              <w:rPr>
                <w:rFonts w:cs="Century Schoolbook"/>
                <w:strike/>
                <w:color w:val="FF0000"/>
                <w:szCs w:val="22"/>
              </w:rPr>
            </w:pPr>
            <w:r w:rsidRPr="006A1D2E">
              <w:rPr>
                <w:rFonts w:cs="Century Schoolbook"/>
                <w:strike/>
                <w:color w:val="FF0000"/>
                <w:szCs w:val="22"/>
              </w:rPr>
              <w:t>BPAT</w:t>
            </w:r>
          </w:p>
        </w:tc>
        <w:tc>
          <w:tcPr>
            <w:tcW w:w="2053" w:type="dxa"/>
            <w:shd w:val="clear" w:color="auto" w:fill="auto"/>
          </w:tcPr>
          <w:p w14:paraId="2CDB23E6"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6DFD05D8"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1ED620C3"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5CB4114E" w14:textId="77777777" w:rsidTr="006D462C">
        <w:tc>
          <w:tcPr>
            <w:tcW w:w="2099" w:type="dxa"/>
            <w:shd w:val="clear" w:color="auto" w:fill="auto"/>
          </w:tcPr>
          <w:p w14:paraId="61C9A6AD"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053" w:type="dxa"/>
            <w:shd w:val="clear" w:color="auto" w:fill="auto"/>
          </w:tcPr>
          <w:p w14:paraId="100C319D"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3ED803B1"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001264DD"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018D4B78" w14:textId="77777777" w:rsidTr="006D462C">
        <w:tc>
          <w:tcPr>
            <w:tcW w:w="8136" w:type="dxa"/>
            <w:gridSpan w:val="4"/>
            <w:shd w:val="clear" w:color="auto" w:fill="auto"/>
          </w:tcPr>
          <w:p w14:paraId="0308BED3" w14:textId="77777777" w:rsidR="008672E3" w:rsidRPr="006A1D2E" w:rsidRDefault="008672E3" w:rsidP="006D462C">
            <w:pPr>
              <w:jc w:val="center"/>
              <w:rPr>
                <w:rFonts w:cs="Century Schoolbook"/>
                <w:strike/>
                <w:color w:val="FF0000"/>
                <w:szCs w:val="22"/>
              </w:rPr>
            </w:pPr>
            <w:r w:rsidRPr="006A1D2E">
              <w:rPr>
                <w:rFonts w:cs="Century Schoolbook"/>
                <w:b/>
                <w:strike/>
                <w:color w:val="FF0000"/>
                <w:sz w:val="20"/>
                <w:szCs w:val="20"/>
              </w:rPr>
              <w:t>Fiscal Year 2015</w:t>
            </w:r>
          </w:p>
        </w:tc>
      </w:tr>
      <w:tr w:rsidR="006A1D2E" w:rsidRPr="006A1D2E" w14:paraId="6E445F08" w14:textId="77777777" w:rsidTr="006D462C">
        <w:tc>
          <w:tcPr>
            <w:tcW w:w="2099" w:type="dxa"/>
            <w:shd w:val="clear" w:color="auto" w:fill="auto"/>
          </w:tcPr>
          <w:p w14:paraId="2494F185" w14:textId="77777777" w:rsidR="008672E3" w:rsidRPr="006A1D2E" w:rsidRDefault="008672E3" w:rsidP="006D462C">
            <w:pPr>
              <w:rPr>
                <w:rFonts w:cs="Century Schoolbook"/>
                <w:strike/>
                <w:color w:val="FF0000"/>
                <w:szCs w:val="22"/>
              </w:rPr>
            </w:pPr>
            <w:r w:rsidRPr="006A1D2E">
              <w:rPr>
                <w:rFonts w:cs="Century Schoolbook"/>
                <w:strike/>
                <w:color w:val="FF0000"/>
                <w:szCs w:val="22"/>
              </w:rPr>
              <w:t>BPAT</w:t>
            </w:r>
          </w:p>
        </w:tc>
        <w:tc>
          <w:tcPr>
            <w:tcW w:w="2053" w:type="dxa"/>
            <w:shd w:val="clear" w:color="auto" w:fill="auto"/>
          </w:tcPr>
          <w:p w14:paraId="01024B43"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500E08C4"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45732AF9"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0E7C1534" w14:textId="77777777" w:rsidTr="006D462C">
        <w:tc>
          <w:tcPr>
            <w:tcW w:w="2099" w:type="dxa"/>
            <w:shd w:val="clear" w:color="auto" w:fill="auto"/>
          </w:tcPr>
          <w:p w14:paraId="4FFEA82C"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053" w:type="dxa"/>
            <w:shd w:val="clear" w:color="auto" w:fill="auto"/>
          </w:tcPr>
          <w:p w14:paraId="778679F8"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88" w:type="dxa"/>
            <w:shd w:val="clear" w:color="auto" w:fill="auto"/>
          </w:tcPr>
          <w:p w14:paraId="7D022510"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1996" w:type="dxa"/>
            <w:shd w:val="clear" w:color="auto" w:fill="auto"/>
          </w:tcPr>
          <w:p w14:paraId="5654CE52"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25CEA10D" w14:textId="77777777" w:rsidTr="006D462C">
        <w:tc>
          <w:tcPr>
            <w:tcW w:w="8136" w:type="dxa"/>
            <w:gridSpan w:val="4"/>
            <w:shd w:val="clear" w:color="auto" w:fill="auto"/>
          </w:tcPr>
          <w:p w14:paraId="49463791" w14:textId="77777777" w:rsidR="008672E3" w:rsidRPr="006A1D2E" w:rsidRDefault="008672E3" w:rsidP="006D462C">
            <w:pPr>
              <w:rPr>
                <w:rFonts w:cs="Century Schoolbook"/>
                <w:strike/>
                <w:color w:val="FF0000"/>
                <w:szCs w:val="22"/>
              </w:rPr>
            </w:pPr>
            <w:r w:rsidRPr="006A1D2E">
              <w:rPr>
                <w:i/>
                <w:strike/>
                <w:color w:val="FF0000"/>
                <w:sz w:val="20"/>
                <w:szCs w:val="20"/>
              </w:rPr>
              <w:t>Optional to include if a customer had proportional scheduling in prior Rate Period, but not current Rate Period:</w:t>
            </w:r>
            <w:r w:rsidRPr="006A1D2E">
              <w:rPr>
                <w:rFonts w:cs="Century Schoolbook"/>
                <w:strike/>
                <w:color w:val="FF0000"/>
                <w:sz w:val="20"/>
                <w:szCs w:val="20"/>
              </w:rPr>
              <w:t xml:space="preserve">  Note:  «Customer Name» did not have baseline delivery percentages and amounts for delivery of a New Resource to serve Above RHWM Load in FY«##»-FY«##».</w:t>
            </w:r>
          </w:p>
        </w:tc>
      </w:tr>
    </w:tbl>
    <w:p w14:paraId="03052E5E" w14:textId="77777777" w:rsidR="008672E3" w:rsidRPr="006A1D2E" w:rsidRDefault="008672E3" w:rsidP="008672E3">
      <w:pPr>
        <w:spacing w:line="240" w:lineRule="atLeast"/>
        <w:rPr>
          <w:i/>
          <w:strike/>
          <w:color w:val="FF0000"/>
          <w:szCs w:val="22"/>
        </w:rPr>
      </w:pPr>
      <w:r w:rsidRPr="006A1D2E">
        <w:rPr>
          <w:i/>
          <w:strike/>
          <w:color w:val="FF0000"/>
          <w:szCs w:val="22"/>
          <w:u w:val="single"/>
        </w:rPr>
        <w:t>Drafter’s Note</w:t>
      </w:r>
      <w:r w:rsidRPr="006A1D2E">
        <w:rPr>
          <w:i/>
          <w:strike/>
          <w:color w:val="FF0000"/>
          <w:szCs w:val="22"/>
        </w:rPr>
        <w:t>:  Add rows to table as needed to identify multiple transfer system providers.</w:t>
      </w:r>
    </w:p>
    <w:p w14:paraId="78D079ED" w14:textId="77777777" w:rsidR="008672E3" w:rsidRPr="006A1D2E" w:rsidRDefault="008672E3" w:rsidP="008672E3">
      <w:pPr>
        <w:ind w:left="720"/>
        <w:rPr>
          <w:rFonts w:cs="Century Schoolbook"/>
          <w:strike/>
          <w:color w:val="FF0000"/>
          <w:szCs w:val="22"/>
        </w:rPr>
      </w:pPr>
    </w:p>
    <w:p w14:paraId="70E278A0" w14:textId="77777777" w:rsidR="008672E3" w:rsidRPr="006A1D2E" w:rsidRDefault="008672E3" w:rsidP="008672E3">
      <w:pPr>
        <w:ind w:left="720"/>
        <w:rPr>
          <w:rFonts w:cs="Century Schoolbook"/>
          <w:strike/>
          <w:color w:val="FF0000"/>
          <w:szCs w:val="22"/>
        </w:rPr>
      </w:pPr>
      <w:r w:rsidRPr="006A1D2E">
        <w:rPr>
          <w:rFonts w:cs="Century Schoolbook"/>
          <w:strike/>
          <w:color w:val="FF0000"/>
          <w:szCs w:val="22"/>
        </w:rPr>
        <w:t xml:space="preserve">A </w:t>
      </w:r>
      <w:proofErr w:type="gramStart"/>
      <w:r w:rsidRPr="006A1D2E">
        <w:rPr>
          <w:rFonts w:cs="Century Schoolbook"/>
          <w:strike/>
          <w:color w:val="FF0000"/>
          <w:szCs w:val="22"/>
        </w:rPr>
        <w:t>zero baseline</w:t>
      </w:r>
      <w:proofErr w:type="gramEnd"/>
      <w:r w:rsidRPr="006A1D2E">
        <w:rPr>
          <w:rFonts w:cs="Century Schoolbook"/>
          <w:strike/>
          <w:color w:val="FF0000"/>
          <w:szCs w:val="22"/>
        </w:rPr>
        <w:t xml:space="preserve"> delivery amount for a transmission system in the table above indicates the Above-RHWM Load served over that transmission system is deemed to be de minimis in accordance with section 14.7.2 of the body of this Agreement.</w:t>
      </w:r>
    </w:p>
    <w:p w14:paraId="3B3A88E3" w14:textId="77777777" w:rsidR="008672E3" w:rsidRPr="006A1D2E" w:rsidRDefault="008672E3" w:rsidP="008672E3">
      <w:pPr>
        <w:ind w:left="720"/>
        <w:rPr>
          <w:rFonts w:cs="Century Schoolbook"/>
          <w:strike/>
          <w:color w:val="FF0000"/>
          <w:szCs w:val="22"/>
        </w:rPr>
      </w:pPr>
    </w:p>
    <w:p w14:paraId="4FA2428F" w14:textId="77777777" w:rsidR="008672E3" w:rsidRPr="006A1D2E" w:rsidRDefault="008672E3" w:rsidP="008672E3">
      <w:pPr>
        <w:ind w:left="720"/>
        <w:rPr>
          <w:rFonts w:cs="Century Schoolbook"/>
          <w:strike/>
          <w:color w:val="FF0000"/>
          <w:szCs w:val="22"/>
        </w:rPr>
      </w:pPr>
      <w:r w:rsidRPr="006A1D2E">
        <w:rPr>
          <w:rFonts w:cs="Century Schoolbook"/>
          <w:strike/>
          <w:color w:val="FF0000"/>
          <w:szCs w:val="22"/>
        </w:rPr>
        <w:t>If, in accordance with section 14.7.3.3 of the body of this Agreement, the Parties agree to a delivery option other than the baseline delivery percentages, the Parties shall revise this exhibit to include the delivery option in a table below.</w:t>
      </w:r>
    </w:p>
    <w:p w14:paraId="1EE0367A" w14:textId="77777777" w:rsidR="008672E3" w:rsidRPr="006A1D2E" w:rsidRDefault="008672E3" w:rsidP="008672E3">
      <w:pPr>
        <w:ind w:left="720"/>
        <w:rPr>
          <w:rFonts w:cs="Century Schoolbook"/>
          <w:strike/>
          <w:color w:val="FF0000"/>
          <w:szCs w:val="22"/>
        </w:rPr>
      </w:pPr>
    </w:p>
    <w:p w14:paraId="1A96A796" w14:textId="77777777" w:rsidR="008672E3" w:rsidRPr="006A1D2E" w:rsidRDefault="008672E3" w:rsidP="008672E3">
      <w:pPr>
        <w:keepNext/>
        <w:spacing w:line="240" w:lineRule="atLeast"/>
        <w:rPr>
          <w:i/>
          <w:strike/>
          <w:color w:val="FF0000"/>
          <w:szCs w:val="22"/>
        </w:rPr>
      </w:pPr>
      <w:r w:rsidRPr="006A1D2E">
        <w:rPr>
          <w:i/>
          <w:strike/>
          <w:color w:val="FF0000"/>
          <w:szCs w:val="22"/>
          <w:u w:val="single"/>
        </w:rPr>
        <w:t>Drafter’s Note</w:t>
      </w:r>
      <w:r w:rsidRPr="006A1D2E">
        <w:rPr>
          <w:i/>
          <w:strike/>
          <w:color w:val="FF0000"/>
          <w:szCs w:val="22"/>
        </w:rPr>
        <w:t>:  Add the following table and paragraph(s) for customers that propose a delivery option other than the baseline. Add rows to table as needed to identify multiple New Resources.  If the customer is receiving this provision/table for the first time, do not include past Fiscal Years; just include the upcoming applicable Fiscal Years.  For customers that already have this provision (PNGC has an example of this), add rows for upcoming Fiscal Years.  The Delivery Amount (</w:t>
      </w:r>
      <w:proofErr w:type="spellStart"/>
      <w:r w:rsidRPr="006A1D2E">
        <w:rPr>
          <w:i/>
          <w:strike/>
          <w:color w:val="FF0000"/>
          <w:szCs w:val="22"/>
        </w:rPr>
        <w:t>aMW</w:t>
      </w:r>
      <w:proofErr w:type="spellEnd"/>
      <w:r w:rsidRPr="006A1D2E">
        <w:rPr>
          <w:i/>
          <w:strike/>
          <w:color w:val="FF0000"/>
          <w:szCs w:val="22"/>
        </w:rPr>
        <w:t xml:space="preserve">) column should include the </w:t>
      </w:r>
      <w:r w:rsidRPr="006A1D2E">
        <w:rPr>
          <w:i/>
          <w:strike/>
          <w:color w:val="FF0000"/>
          <w:szCs w:val="22"/>
          <w:u w:val="single"/>
        </w:rPr>
        <w:t>total</w:t>
      </w:r>
      <w:r w:rsidRPr="006A1D2E">
        <w:rPr>
          <w:i/>
          <w:strike/>
          <w:color w:val="FF0000"/>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79"/>
        <w:gridCol w:w="2148"/>
        <w:gridCol w:w="2147"/>
      </w:tblGrid>
      <w:tr w:rsidR="006A1D2E" w:rsidRPr="006A1D2E" w14:paraId="636F05ED" w14:textId="77777777" w:rsidTr="006D462C">
        <w:tc>
          <w:tcPr>
            <w:tcW w:w="8856" w:type="dxa"/>
            <w:gridSpan w:val="4"/>
            <w:shd w:val="clear" w:color="auto" w:fill="auto"/>
          </w:tcPr>
          <w:p w14:paraId="20A7E0FD"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Cs w:val="22"/>
              </w:rPr>
              <w:t>Delivery Option Amount and Cost</w:t>
            </w:r>
          </w:p>
        </w:tc>
      </w:tr>
      <w:tr w:rsidR="006A1D2E" w:rsidRPr="006A1D2E" w14:paraId="43C67C2C" w14:textId="77777777" w:rsidTr="006D462C">
        <w:tc>
          <w:tcPr>
            <w:tcW w:w="2214" w:type="dxa"/>
            <w:shd w:val="clear" w:color="auto" w:fill="auto"/>
          </w:tcPr>
          <w:p w14:paraId="354341E5" w14:textId="77777777" w:rsidR="008672E3" w:rsidRPr="006A1D2E" w:rsidRDefault="008672E3" w:rsidP="006D462C">
            <w:pPr>
              <w:jc w:val="center"/>
              <w:rPr>
                <w:rFonts w:cs="Century Schoolbook"/>
                <w:b/>
                <w:strike/>
                <w:color w:val="FF0000"/>
                <w:sz w:val="20"/>
                <w:szCs w:val="20"/>
              </w:rPr>
            </w:pPr>
          </w:p>
          <w:p w14:paraId="7043BE23"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New Resource</w:t>
            </w:r>
          </w:p>
        </w:tc>
        <w:tc>
          <w:tcPr>
            <w:tcW w:w="2214" w:type="dxa"/>
            <w:shd w:val="clear" w:color="auto" w:fill="auto"/>
          </w:tcPr>
          <w:p w14:paraId="71E23DA5"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Transmission System</w:t>
            </w:r>
          </w:p>
        </w:tc>
        <w:tc>
          <w:tcPr>
            <w:tcW w:w="2214" w:type="dxa"/>
            <w:shd w:val="clear" w:color="auto" w:fill="auto"/>
          </w:tcPr>
          <w:p w14:paraId="0F63E9BE"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Delivery Amount (</w:t>
            </w:r>
            <w:proofErr w:type="spellStart"/>
            <w:r w:rsidRPr="006A1D2E">
              <w:rPr>
                <w:rFonts w:cs="Century Schoolbook"/>
                <w:b/>
                <w:strike/>
                <w:color w:val="FF0000"/>
                <w:sz w:val="20"/>
                <w:szCs w:val="20"/>
              </w:rPr>
              <w:t>aMW</w:t>
            </w:r>
            <w:proofErr w:type="spellEnd"/>
            <w:r w:rsidRPr="006A1D2E">
              <w:rPr>
                <w:rFonts w:cs="Century Schoolbook"/>
                <w:b/>
                <w:strike/>
                <w:color w:val="FF0000"/>
                <w:sz w:val="20"/>
                <w:szCs w:val="20"/>
              </w:rPr>
              <w:t>)</w:t>
            </w:r>
          </w:p>
        </w:tc>
        <w:tc>
          <w:tcPr>
            <w:tcW w:w="2214" w:type="dxa"/>
            <w:shd w:val="clear" w:color="auto" w:fill="auto"/>
          </w:tcPr>
          <w:p w14:paraId="070AC8D0"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Cost</w:t>
            </w:r>
            <w:r w:rsidRPr="006A1D2E">
              <w:rPr>
                <w:rFonts w:cs="Century Schoolbook"/>
                <w:b/>
                <w:strike/>
                <w:color w:val="FF0000"/>
                <w:sz w:val="20"/>
                <w:szCs w:val="20"/>
              </w:rPr>
              <w:br/>
              <w:t>($ per month)</w:t>
            </w:r>
          </w:p>
        </w:tc>
      </w:tr>
      <w:tr w:rsidR="006A1D2E" w:rsidRPr="006A1D2E" w14:paraId="1AFAFB95" w14:textId="77777777" w:rsidTr="006D462C">
        <w:tc>
          <w:tcPr>
            <w:tcW w:w="8856" w:type="dxa"/>
            <w:gridSpan w:val="4"/>
            <w:shd w:val="clear" w:color="auto" w:fill="auto"/>
          </w:tcPr>
          <w:p w14:paraId="30968F0F"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Fiscal Year 2012</w:t>
            </w:r>
          </w:p>
        </w:tc>
      </w:tr>
      <w:tr w:rsidR="006A1D2E" w:rsidRPr="006A1D2E" w14:paraId="4807453F" w14:textId="77777777" w:rsidTr="006D462C">
        <w:tc>
          <w:tcPr>
            <w:tcW w:w="2214" w:type="dxa"/>
            <w:shd w:val="clear" w:color="auto" w:fill="auto"/>
          </w:tcPr>
          <w:p w14:paraId="29924165" w14:textId="77777777" w:rsidR="008672E3" w:rsidRPr="006A1D2E" w:rsidRDefault="008672E3" w:rsidP="006D462C">
            <w:pPr>
              <w:rPr>
                <w:rFonts w:cs="Century Schoolbook"/>
                <w:strike/>
                <w:color w:val="FF0000"/>
                <w:szCs w:val="22"/>
              </w:rPr>
            </w:pPr>
            <w:r w:rsidRPr="006A1D2E">
              <w:rPr>
                <w:rFonts w:cs="Century Schoolbook"/>
                <w:strike/>
                <w:color w:val="FF0000"/>
                <w:szCs w:val="22"/>
              </w:rPr>
              <w:t>«Resource Name»</w:t>
            </w:r>
          </w:p>
        </w:tc>
        <w:tc>
          <w:tcPr>
            <w:tcW w:w="2214" w:type="dxa"/>
            <w:shd w:val="clear" w:color="auto" w:fill="auto"/>
          </w:tcPr>
          <w:p w14:paraId="6AE3975B"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214" w:type="dxa"/>
            <w:shd w:val="clear" w:color="auto" w:fill="auto"/>
          </w:tcPr>
          <w:p w14:paraId="38326BD4"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2214" w:type="dxa"/>
            <w:shd w:val="clear" w:color="auto" w:fill="auto"/>
          </w:tcPr>
          <w:p w14:paraId="015F81E8"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28F7BF4B" w14:textId="77777777" w:rsidTr="006D462C">
        <w:tc>
          <w:tcPr>
            <w:tcW w:w="8856" w:type="dxa"/>
            <w:gridSpan w:val="4"/>
            <w:shd w:val="clear" w:color="auto" w:fill="auto"/>
          </w:tcPr>
          <w:p w14:paraId="59F862EB"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lastRenderedPageBreak/>
              <w:t>Fiscal Year 2013</w:t>
            </w:r>
          </w:p>
        </w:tc>
      </w:tr>
      <w:tr w:rsidR="006A1D2E" w:rsidRPr="006A1D2E" w14:paraId="0C2328ED" w14:textId="77777777" w:rsidTr="006D462C">
        <w:tc>
          <w:tcPr>
            <w:tcW w:w="2214" w:type="dxa"/>
            <w:shd w:val="clear" w:color="auto" w:fill="auto"/>
          </w:tcPr>
          <w:p w14:paraId="437265A1" w14:textId="77777777" w:rsidR="008672E3" w:rsidRPr="006A1D2E" w:rsidRDefault="008672E3" w:rsidP="006D462C">
            <w:pPr>
              <w:rPr>
                <w:rFonts w:cs="Century Schoolbook"/>
                <w:strike/>
                <w:color w:val="FF0000"/>
                <w:szCs w:val="22"/>
              </w:rPr>
            </w:pPr>
            <w:r w:rsidRPr="006A1D2E">
              <w:rPr>
                <w:rFonts w:cs="Century Schoolbook"/>
                <w:strike/>
                <w:color w:val="FF0000"/>
                <w:szCs w:val="22"/>
              </w:rPr>
              <w:t>«Resource Name»</w:t>
            </w:r>
          </w:p>
        </w:tc>
        <w:tc>
          <w:tcPr>
            <w:tcW w:w="2214" w:type="dxa"/>
            <w:shd w:val="clear" w:color="auto" w:fill="auto"/>
          </w:tcPr>
          <w:p w14:paraId="16B1B2F9"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214" w:type="dxa"/>
            <w:shd w:val="clear" w:color="auto" w:fill="auto"/>
          </w:tcPr>
          <w:p w14:paraId="3A2BB9FF"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2214" w:type="dxa"/>
            <w:shd w:val="clear" w:color="auto" w:fill="auto"/>
          </w:tcPr>
          <w:p w14:paraId="3A8B46AD"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797FEA39" w14:textId="77777777" w:rsidTr="006D462C">
        <w:tc>
          <w:tcPr>
            <w:tcW w:w="8856" w:type="dxa"/>
            <w:gridSpan w:val="4"/>
            <w:shd w:val="clear" w:color="auto" w:fill="auto"/>
          </w:tcPr>
          <w:p w14:paraId="3BE5C9EA"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Fiscal Year 2014</w:t>
            </w:r>
          </w:p>
        </w:tc>
      </w:tr>
      <w:tr w:rsidR="006A1D2E" w:rsidRPr="006A1D2E" w14:paraId="38C5131F" w14:textId="77777777" w:rsidTr="006D462C">
        <w:tc>
          <w:tcPr>
            <w:tcW w:w="2214" w:type="dxa"/>
            <w:shd w:val="clear" w:color="auto" w:fill="auto"/>
          </w:tcPr>
          <w:p w14:paraId="3B499334" w14:textId="77777777" w:rsidR="008672E3" w:rsidRPr="006A1D2E" w:rsidRDefault="008672E3" w:rsidP="006D462C">
            <w:pPr>
              <w:rPr>
                <w:rFonts w:cs="Century Schoolbook"/>
                <w:strike/>
                <w:color w:val="FF0000"/>
                <w:szCs w:val="22"/>
              </w:rPr>
            </w:pPr>
            <w:r w:rsidRPr="006A1D2E">
              <w:rPr>
                <w:rFonts w:cs="Century Schoolbook"/>
                <w:strike/>
                <w:color w:val="FF0000"/>
                <w:szCs w:val="22"/>
              </w:rPr>
              <w:t>«Resource Name»</w:t>
            </w:r>
          </w:p>
        </w:tc>
        <w:tc>
          <w:tcPr>
            <w:tcW w:w="2214" w:type="dxa"/>
            <w:shd w:val="clear" w:color="auto" w:fill="auto"/>
          </w:tcPr>
          <w:p w14:paraId="10A10D88"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214" w:type="dxa"/>
            <w:shd w:val="clear" w:color="auto" w:fill="auto"/>
          </w:tcPr>
          <w:p w14:paraId="0D90D381"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2214" w:type="dxa"/>
            <w:shd w:val="clear" w:color="auto" w:fill="auto"/>
          </w:tcPr>
          <w:p w14:paraId="080EBF14"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44C16AE1" w14:textId="77777777" w:rsidTr="006D462C">
        <w:tc>
          <w:tcPr>
            <w:tcW w:w="8856" w:type="dxa"/>
            <w:gridSpan w:val="4"/>
            <w:shd w:val="clear" w:color="auto" w:fill="auto"/>
          </w:tcPr>
          <w:p w14:paraId="7B7B5038" w14:textId="77777777" w:rsidR="008672E3" w:rsidRPr="006A1D2E" w:rsidRDefault="008672E3" w:rsidP="006D462C">
            <w:pPr>
              <w:jc w:val="center"/>
              <w:rPr>
                <w:rFonts w:cs="Century Schoolbook"/>
                <w:b/>
                <w:strike/>
                <w:color w:val="FF0000"/>
                <w:sz w:val="20"/>
                <w:szCs w:val="20"/>
              </w:rPr>
            </w:pPr>
            <w:r w:rsidRPr="006A1D2E">
              <w:rPr>
                <w:rFonts w:cs="Century Schoolbook"/>
                <w:b/>
                <w:strike/>
                <w:color w:val="FF0000"/>
                <w:sz w:val="20"/>
                <w:szCs w:val="20"/>
              </w:rPr>
              <w:t>Fiscal Year 2015</w:t>
            </w:r>
          </w:p>
        </w:tc>
      </w:tr>
      <w:tr w:rsidR="006A1D2E" w:rsidRPr="006A1D2E" w14:paraId="6AEDA26B" w14:textId="77777777" w:rsidTr="006D462C">
        <w:tc>
          <w:tcPr>
            <w:tcW w:w="2214" w:type="dxa"/>
            <w:shd w:val="clear" w:color="auto" w:fill="auto"/>
          </w:tcPr>
          <w:p w14:paraId="4B2E215D" w14:textId="77777777" w:rsidR="008672E3" w:rsidRPr="006A1D2E" w:rsidRDefault="008672E3" w:rsidP="006D462C">
            <w:pPr>
              <w:rPr>
                <w:rFonts w:cs="Century Schoolbook"/>
                <w:strike/>
                <w:color w:val="FF0000"/>
                <w:szCs w:val="22"/>
              </w:rPr>
            </w:pPr>
            <w:r w:rsidRPr="006A1D2E">
              <w:rPr>
                <w:rFonts w:cs="Century Schoolbook"/>
                <w:strike/>
                <w:color w:val="FF0000"/>
                <w:szCs w:val="22"/>
              </w:rPr>
              <w:t>«Resource Name»</w:t>
            </w:r>
          </w:p>
        </w:tc>
        <w:tc>
          <w:tcPr>
            <w:tcW w:w="2214" w:type="dxa"/>
            <w:shd w:val="clear" w:color="auto" w:fill="auto"/>
          </w:tcPr>
          <w:p w14:paraId="43C2CEA4" w14:textId="77777777" w:rsidR="008672E3" w:rsidRPr="006A1D2E" w:rsidRDefault="008672E3" w:rsidP="006D462C">
            <w:pPr>
              <w:rPr>
                <w:rFonts w:cs="Century Schoolbook"/>
                <w:strike/>
                <w:color w:val="FF0000"/>
                <w:szCs w:val="22"/>
              </w:rPr>
            </w:pPr>
            <w:r w:rsidRPr="006A1D2E">
              <w:rPr>
                <w:rFonts w:cs="Century Schoolbook"/>
                <w:strike/>
                <w:color w:val="FF0000"/>
                <w:szCs w:val="22"/>
              </w:rPr>
              <w:t>«Transfer System»</w:t>
            </w:r>
          </w:p>
        </w:tc>
        <w:tc>
          <w:tcPr>
            <w:tcW w:w="2214" w:type="dxa"/>
            <w:shd w:val="clear" w:color="auto" w:fill="auto"/>
          </w:tcPr>
          <w:p w14:paraId="237E4BF6"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c>
          <w:tcPr>
            <w:tcW w:w="2214" w:type="dxa"/>
            <w:shd w:val="clear" w:color="auto" w:fill="auto"/>
          </w:tcPr>
          <w:p w14:paraId="3F34E2CD" w14:textId="77777777" w:rsidR="008672E3" w:rsidRPr="006A1D2E" w:rsidRDefault="008672E3" w:rsidP="006D462C">
            <w:pPr>
              <w:jc w:val="center"/>
              <w:rPr>
                <w:rFonts w:cs="Century Schoolbook"/>
                <w:strike/>
                <w:color w:val="FF0000"/>
                <w:szCs w:val="22"/>
              </w:rPr>
            </w:pPr>
            <w:r w:rsidRPr="006A1D2E">
              <w:rPr>
                <w:rFonts w:cs="Century Schoolbook"/>
                <w:strike/>
                <w:color w:val="FF0000"/>
                <w:szCs w:val="22"/>
              </w:rPr>
              <w:t>$«##.##»</w:t>
            </w:r>
          </w:p>
        </w:tc>
      </w:tr>
      <w:tr w:rsidR="006A1D2E" w:rsidRPr="006A1D2E" w14:paraId="06094E46" w14:textId="77777777" w:rsidTr="006D462C">
        <w:tc>
          <w:tcPr>
            <w:tcW w:w="8856" w:type="dxa"/>
            <w:gridSpan w:val="4"/>
            <w:shd w:val="clear" w:color="auto" w:fill="auto"/>
          </w:tcPr>
          <w:p w14:paraId="397CDBCE" w14:textId="77777777" w:rsidR="008672E3" w:rsidRPr="006A1D2E" w:rsidRDefault="008672E3" w:rsidP="006D462C">
            <w:pPr>
              <w:rPr>
                <w:rFonts w:cs="Century Schoolbook"/>
                <w:strike/>
                <w:color w:val="FF0000"/>
                <w:sz w:val="20"/>
                <w:szCs w:val="20"/>
              </w:rPr>
            </w:pPr>
            <w:r w:rsidRPr="006A1D2E">
              <w:rPr>
                <w:rFonts w:cs="Century Schoolbook"/>
                <w:strike/>
                <w:color w:val="FF0000"/>
                <w:sz w:val="20"/>
                <w:szCs w:val="20"/>
              </w:rPr>
              <w:t>Note:  N/A (not applicable) in the Cost column indicates the delivery option is in accordance with the baseline delivery amount for that year.</w:t>
            </w:r>
          </w:p>
        </w:tc>
      </w:tr>
    </w:tbl>
    <w:p w14:paraId="2E0C7E24" w14:textId="77777777" w:rsidR="008672E3" w:rsidRPr="006A1D2E" w:rsidRDefault="008672E3" w:rsidP="008672E3">
      <w:pPr>
        <w:ind w:left="720"/>
        <w:rPr>
          <w:rFonts w:cs="Century Schoolbook"/>
          <w:strike/>
          <w:color w:val="FF0000"/>
          <w:szCs w:val="22"/>
        </w:rPr>
      </w:pPr>
    </w:p>
    <w:p w14:paraId="304FF316" w14:textId="77777777" w:rsidR="008672E3" w:rsidRPr="006A1D2E" w:rsidRDefault="008672E3" w:rsidP="008672E3">
      <w:pPr>
        <w:spacing w:line="240" w:lineRule="atLeast"/>
        <w:ind w:left="720"/>
        <w:rPr>
          <w:rFonts w:cs="Century Schoolbook"/>
          <w:strike/>
          <w:color w:val="FF0000"/>
          <w:szCs w:val="22"/>
        </w:rPr>
      </w:pPr>
      <w:r w:rsidRPr="006A1D2E">
        <w:rPr>
          <w:rFonts w:cs="Century Schoolbook"/>
          <w:strike/>
          <w:color w:val="FF0000"/>
          <w:szCs w:val="22"/>
        </w:rPr>
        <w:t>«Customer Name» shall deliver its New Resources to serve the portion of its Above-RHWM Load served over the transmission system(s) listed in the table above titled Delivery Option Amount and Cost.  BPA shall bill «Customer Name» monthly for the cost associated with this delivery option, if any, listed in the table above.</w:t>
      </w:r>
    </w:p>
    <w:p w14:paraId="062D5BD4" w14:textId="77777777" w:rsidR="008672E3" w:rsidRPr="006A1D2E" w:rsidRDefault="008672E3" w:rsidP="008672E3">
      <w:pPr>
        <w:spacing w:line="240" w:lineRule="atLeast"/>
        <w:ind w:left="720"/>
        <w:rPr>
          <w:rFonts w:cs="Century Schoolbook"/>
          <w:strike/>
          <w:color w:val="FF0000"/>
          <w:szCs w:val="22"/>
        </w:rPr>
      </w:pPr>
    </w:p>
    <w:p w14:paraId="15287669" w14:textId="77777777" w:rsidR="008672E3" w:rsidRPr="006A1D2E" w:rsidRDefault="008672E3" w:rsidP="008672E3">
      <w:pPr>
        <w:spacing w:line="240" w:lineRule="atLeast"/>
        <w:ind w:left="720"/>
        <w:rPr>
          <w:i/>
          <w:strike/>
          <w:color w:val="FF0000"/>
          <w:szCs w:val="22"/>
        </w:rPr>
      </w:pPr>
      <w:r w:rsidRPr="006A1D2E">
        <w:rPr>
          <w:i/>
          <w:strike/>
          <w:color w:val="FF0000"/>
          <w:szCs w:val="22"/>
          <w:u w:val="single"/>
        </w:rPr>
        <w:t>Drafter’s Note</w:t>
      </w:r>
      <w:r w:rsidRPr="006A1D2E">
        <w:rPr>
          <w:i/>
          <w:strike/>
          <w:color w:val="FF0000"/>
          <w:szCs w:val="22"/>
        </w:rPr>
        <w:t>:  Include a section for each New Resource listed in the table above using one of the following options.  If more than one option is necessary, number each section using the list format (i.e. (1), (2), etc.).</w:t>
      </w:r>
    </w:p>
    <w:p w14:paraId="4C535BEE" w14:textId="77777777" w:rsidR="008672E3" w:rsidRPr="006A1D2E" w:rsidRDefault="008672E3" w:rsidP="008672E3">
      <w:pPr>
        <w:spacing w:line="240" w:lineRule="atLeast"/>
        <w:ind w:left="720"/>
        <w:rPr>
          <w:rFonts w:cs="Century Schoolbook"/>
          <w:i/>
          <w:strike/>
          <w:color w:val="FF0000"/>
          <w:szCs w:val="22"/>
        </w:rPr>
      </w:pPr>
    </w:p>
    <w:p w14:paraId="34FAA5BC" w14:textId="77777777" w:rsidR="008672E3" w:rsidRPr="006A1D2E" w:rsidRDefault="008672E3" w:rsidP="008672E3">
      <w:pPr>
        <w:spacing w:line="240" w:lineRule="atLeast"/>
        <w:ind w:left="720"/>
        <w:rPr>
          <w:i/>
          <w:strike/>
          <w:color w:val="FF0000"/>
          <w:szCs w:val="22"/>
        </w:rPr>
      </w:pPr>
      <w:r w:rsidRPr="006A1D2E">
        <w:rPr>
          <w:i/>
          <w:strike/>
          <w:color w:val="FF0000"/>
          <w:szCs w:val="22"/>
          <w:u w:val="single"/>
        </w:rPr>
        <w:t>Option 1</w:t>
      </w:r>
      <w:r w:rsidRPr="006A1D2E">
        <w:rPr>
          <w:i/>
          <w:strike/>
          <w:color w:val="FF0000"/>
          <w:szCs w:val="22"/>
        </w:rPr>
        <w:t>:  Include the following for customers with a “</w:t>
      </w:r>
      <w:r w:rsidRPr="006A1D2E">
        <w:rPr>
          <w:i/>
          <w:strike/>
          <w:color w:val="FF0000"/>
          <w:szCs w:val="22"/>
          <w:u w:val="single"/>
        </w:rPr>
        <w:t>Specified</w:t>
      </w:r>
      <w:r w:rsidRPr="006A1D2E">
        <w:rPr>
          <w:i/>
          <w:strike/>
          <w:color w:val="FF0000"/>
          <w:szCs w:val="22"/>
        </w:rPr>
        <w:t>” New Resource listed in the table above.</w:t>
      </w:r>
    </w:p>
    <w:p w14:paraId="0EB4E2D5" w14:textId="77777777" w:rsidR="008672E3" w:rsidRPr="006A1D2E" w:rsidRDefault="008672E3" w:rsidP="008672E3">
      <w:pPr>
        <w:spacing w:line="240" w:lineRule="atLeast"/>
        <w:ind w:left="720"/>
        <w:rPr>
          <w:rFonts w:cs="Century Schoolbook"/>
          <w:i/>
          <w:strike/>
          <w:color w:val="FF0000"/>
          <w:szCs w:val="22"/>
        </w:rPr>
      </w:pPr>
    </w:p>
    <w:p w14:paraId="4C6ECE6F" w14:textId="77777777" w:rsidR="008672E3" w:rsidRPr="006A1D2E" w:rsidRDefault="008672E3" w:rsidP="008672E3">
      <w:pPr>
        <w:spacing w:line="240" w:lineRule="atLeast"/>
        <w:ind w:left="720"/>
        <w:rPr>
          <w:rFonts w:cs="Century Schoolbook"/>
          <w:i/>
          <w:strike/>
          <w:color w:val="FF0000"/>
          <w:szCs w:val="22"/>
        </w:rPr>
      </w:pPr>
      <w:r w:rsidRPr="006A1D2E">
        <w:rPr>
          <w:i/>
          <w:strike/>
          <w:color w:val="FF0000"/>
          <w:szCs w:val="22"/>
          <w:u w:val="single"/>
        </w:rPr>
        <w:t>Option 1a (Specified New Resources)</w:t>
      </w:r>
      <w:r w:rsidRPr="006A1D2E">
        <w:rPr>
          <w:i/>
          <w:strike/>
          <w:color w:val="FF0000"/>
          <w:szCs w:val="22"/>
        </w:rPr>
        <w:t>:  Include the following if there is NO increased cost of delivering remote BPA resources:</w:t>
      </w:r>
    </w:p>
    <w:p w14:paraId="51F255FC" w14:textId="77777777" w:rsidR="008672E3" w:rsidRPr="006A1D2E" w:rsidRDefault="008672E3" w:rsidP="008672E3">
      <w:pPr>
        <w:spacing w:line="240" w:lineRule="atLeast"/>
        <w:ind w:left="720"/>
        <w:rPr>
          <w:rFonts w:cs="Century Schoolbook"/>
          <w:strike/>
          <w:color w:val="FF0000"/>
          <w:szCs w:val="22"/>
        </w:rPr>
      </w:pPr>
      <w:r w:rsidRPr="006A1D2E">
        <w:rPr>
          <w:rFonts w:cs="Century Schoolbook"/>
          <w:strike/>
          <w:color w:val="FF0000"/>
          <w:szCs w:val="22"/>
        </w:rPr>
        <w:t xml:space="preserve">BPA shall apply the following cost categories to calculate the cost associated with the delivery option for «Customer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«Resource Name» resource served over the «Transfer System» transmission system:  losses, risk of increased curtailments, ancillary services, «and» increased cost of delivering remote BPA resources that BPA is acquiring at the time the non-federal resource is first included in «Customer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delivery option, «add additional cost categories that apply».  </w:t>
      </w:r>
      <w:r w:rsidRPr="006A1D2E">
        <w:rPr>
          <w:strike/>
          <w:color w:val="FF0000"/>
          <w:szCs w:val="22"/>
        </w:rPr>
        <w:t xml:space="preserve">By December 15 of every Rate Case Year, BPA shall determine the costs associated with the categories listed above except for the increased cost of delivering remote BPA resources.  </w:t>
      </w:r>
      <w:r w:rsidRPr="006A1D2E">
        <w:rPr>
          <w:rFonts w:cs="Century Schoolbook"/>
          <w:strike/>
          <w:color w:val="FF0000"/>
          <w:szCs w:val="22"/>
        </w:rPr>
        <w:t>BPA has determined that at the time «Customer Name» first notified BPA of its delivery option for its «Resource Name» resource, there was no increased cost of delivering remote BPA resources.</w:t>
      </w:r>
    </w:p>
    <w:p w14:paraId="58D98055" w14:textId="77777777" w:rsidR="008672E3" w:rsidRPr="006A1D2E" w:rsidRDefault="008672E3" w:rsidP="008672E3">
      <w:pPr>
        <w:spacing w:line="240" w:lineRule="atLeast"/>
        <w:ind w:left="720"/>
        <w:rPr>
          <w:i/>
          <w:strike/>
          <w:color w:val="FF0000"/>
          <w:szCs w:val="22"/>
          <w:u w:val="single"/>
        </w:rPr>
      </w:pPr>
      <w:r w:rsidRPr="006A1D2E">
        <w:rPr>
          <w:i/>
          <w:strike/>
          <w:color w:val="FF0000"/>
          <w:szCs w:val="22"/>
          <w:u w:val="single"/>
        </w:rPr>
        <w:t>End Option 1a</w:t>
      </w:r>
    </w:p>
    <w:p w14:paraId="2B1D2A47" w14:textId="77777777" w:rsidR="008672E3" w:rsidRPr="006A1D2E" w:rsidRDefault="008672E3" w:rsidP="008672E3">
      <w:pPr>
        <w:spacing w:line="240" w:lineRule="atLeast"/>
        <w:ind w:left="720"/>
        <w:rPr>
          <w:rFonts w:cs="Century Schoolbook"/>
          <w:strike/>
          <w:color w:val="FF0000"/>
          <w:szCs w:val="22"/>
        </w:rPr>
      </w:pPr>
    </w:p>
    <w:p w14:paraId="18EBA0C4" w14:textId="77777777" w:rsidR="008672E3" w:rsidRPr="006A1D2E" w:rsidRDefault="008672E3" w:rsidP="008672E3">
      <w:pPr>
        <w:keepNext/>
        <w:spacing w:line="240" w:lineRule="atLeast"/>
        <w:ind w:left="720"/>
        <w:rPr>
          <w:i/>
          <w:strike/>
          <w:color w:val="FF0000"/>
          <w:szCs w:val="22"/>
        </w:rPr>
      </w:pPr>
      <w:r w:rsidRPr="006A1D2E">
        <w:rPr>
          <w:i/>
          <w:strike/>
          <w:color w:val="FF0000"/>
          <w:szCs w:val="22"/>
          <w:u w:val="single"/>
        </w:rPr>
        <w:t>Option 1b (Specified New Resources)</w:t>
      </w:r>
      <w:r w:rsidRPr="006A1D2E">
        <w:rPr>
          <w:i/>
          <w:strike/>
          <w:color w:val="FF0000"/>
          <w:szCs w:val="22"/>
        </w:rPr>
        <w:t>:  Include the following if there is an increased cost for delivering remote BPA resources:</w:t>
      </w:r>
    </w:p>
    <w:p w14:paraId="228330CF" w14:textId="77777777" w:rsidR="008672E3" w:rsidRPr="006A1D2E" w:rsidRDefault="008672E3" w:rsidP="008672E3">
      <w:pPr>
        <w:spacing w:line="240" w:lineRule="atLeast"/>
        <w:ind w:left="720"/>
        <w:rPr>
          <w:rFonts w:cs="Century Schoolbook"/>
          <w:strike/>
          <w:color w:val="FF0000"/>
          <w:szCs w:val="22"/>
        </w:rPr>
      </w:pPr>
      <w:r w:rsidRPr="006A1D2E">
        <w:rPr>
          <w:rFonts w:cs="Century Schoolbook"/>
          <w:strike/>
          <w:color w:val="FF0000"/>
          <w:szCs w:val="22"/>
        </w:rPr>
        <w:t xml:space="preserve">BPA shall apply the following cost categories to calculate the cost associated with the delivery option for «Customer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«Resource Name» resource served over the «Transfer System» transmission system:  losses, risk of increased curtailments, ancillary services, «and» increased cost of delivering remote BPA resources that BPA is acquiring at the time the non-federal resource is first included in «Customer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delivery option, «add additional cost categories that apply».  </w:t>
      </w:r>
      <w:r w:rsidRPr="006A1D2E">
        <w:rPr>
          <w:strike/>
          <w:color w:val="FF0000"/>
          <w:szCs w:val="22"/>
        </w:rPr>
        <w:t xml:space="preserve">By December 15 of every Rate Case Year, BPA shall determine the costs associated with the categories listed above except for the increased cost of delivering remote BPA resources.  </w:t>
      </w:r>
      <w:r w:rsidRPr="006A1D2E">
        <w:rPr>
          <w:rFonts w:cs="Century Schoolbook"/>
          <w:strike/>
          <w:color w:val="FF0000"/>
          <w:szCs w:val="22"/>
        </w:rPr>
        <w:t>BPA has determined that at the time «Customer Name» first notified BPA of its delivery option for its «Resource Name» resource the increased cost of delivering remote BPA resources was $«##.##» annually.</w:t>
      </w:r>
      <w:r w:rsidRPr="006A1D2E">
        <w:rPr>
          <w:strike/>
          <w:color w:val="FF0000"/>
          <w:szCs w:val="22"/>
        </w:rPr>
        <w:t xml:space="preserve">  </w:t>
      </w:r>
    </w:p>
    <w:p w14:paraId="1DF4321E" w14:textId="77777777" w:rsidR="008672E3" w:rsidRPr="006A1D2E" w:rsidRDefault="008672E3" w:rsidP="008672E3">
      <w:pPr>
        <w:spacing w:line="240" w:lineRule="atLeast"/>
        <w:ind w:left="720"/>
        <w:rPr>
          <w:i/>
          <w:strike/>
          <w:color w:val="FF0000"/>
          <w:szCs w:val="22"/>
          <w:u w:val="single"/>
        </w:rPr>
      </w:pPr>
      <w:r w:rsidRPr="006A1D2E">
        <w:rPr>
          <w:i/>
          <w:strike/>
          <w:color w:val="FF0000"/>
          <w:szCs w:val="22"/>
          <w:u w:val="single"/>
        </w:rPr>
        <w:lastRenderedPageBreak/>
        <w:t>End Option 1b</w:t>
      </w:r>
    </w:p>
    <w:p w14:paraId="3C33763A" w14:textId="77777777" w:rsidR="008672E3" w:rsidRPr="006A1D2E" w:rsidRDefault="008672E3" w:rsidP="008672E3">
      <w:pPr>
        <w:spacing w:line="240" w:lineRule="atLeast"/>
        <w:ind w:left="720"/>
        <w:rPr>
          <w:i/>
          <w:strike/>
          <w:color w:val="FF0000"/>
          <w:szCs w:val="22"/>
        </w:rPr>
      </w:pPr>
      <w:r w:rsidRPr="006A1D2E">
        <w:rPr>
          <w:i/>
          <w:strike/>
          <w:color w:val="FF0000"/>
          <w:szCs w:val="22"/>
        </w:rPr>
        <w:t>End Option 1</w:t>
      </w:r>
    </w:p>
    <w:p w14:paraId="1D4B53EF" w14:textId="77777777" w:rsidR="008672E3" w:rsidRPr="006A1D2E" w:rsidRDefault="008672E3" w:rsidP="008672E3">
      <w:pPr>
        <w:spacing w:line="240" w:lineRule="atLeast"/>
        <w:ind w:left="720"/>
        <w:rPr>
          <w:rFonts w:cs="Century Schoolbook"/>
          <w:strike/>
          <w:color w:val="FF0000"/>
          <w:szCs w:val="22"/>
        </w:rPr>
      </w:pPr>
    </w:p>
    <w:p w14:paraId="6DDFA886" w14:textId="77777777" w:rsidR="008672E3" w:rsidRPr="006A1D2E" w:rsidRDefault="008672E3" w:rsidP="008672E3">
      <w:pPr>
        <w:spacing w:line="240" w:lineRule="atLeast"/>
        <w:ind w:left="720"/>
        <w:rPr>
          <w:rFonts w:cs="Century Schoolbook"/>
          <w:i/>
          <w:strike/>
          <w:color w:val="FF0000"/>
          <w:szCs w:val="22"/>
        </w:rPr>
      </w:pPr>
      <w:r w:rsidRPr="006A1D2E">
        <w:rPr>
          <w:i/>
          <w:strike/>
          <w:color w:val="FF0000"/>
          <w:szCs w:val="22"/>
          <w:u w:val="single"/>
        </w:rPr>
        <w:t>Option 2</w:t>
      </w:r>
      <w:r w:rsidRPr="006A1D2E">
        <w:rPr>
          <w:i/>
          <w:strike/>
          <w:color w:val="FF0000"/>
          <w:szCs w:val="22"/>
        </w:rPr>
        <w:t>:  Include the following for customers with an “</w:t>
      </w:r>
      <w:r w:rsidRPr="006A1D2E">
        <w:rPr>
          <w:i/>
          <w:strike/>
          <w:color w:val="FF0000"/>
          <w:szCs w:val="22"/>
          <w:u w:val="single"/>
        </w:rPr>
        <w:t>Unspecified</w:t>
      </w:r>
      <w:r w:rsidRPr="006A1D2E">
        <w:rPr>
          <w:i/>
          <w:strike/>
          <w:color w:val="FF0000"/>
          <w:szCs w:val="22"/>
        </w:rPr>
        <w:t xml:space="preserve">” New Resource amount listed in the table above. </w:t>
      </w:r>
    </w:p>
    <w:p w14:paraId="38511F6E" w14:textId="77777777" w:rsidR="008672E3" w:rsidRPr="006A1D2E" w:rsidRDefault="008672E3" w:rsidP="008672E3">
      <w:pPr>
        <w:spacing w:line="240" w:lineRule="atLeast"/>
        <w:ind w:left="720"/>
        <w:rPr>
          <w:rFonts w:cs="Century Schoolbook"/>
          <w:strike/>
          <w:color w:val="FF0000"/>
          <w:szCs w:val="22"/>
        </w:rPr>
      </w:pPr>
      <w:r w:rsidRPr="006A1D2E">
        <w:rPr>
          <w:rFonts w:cs="Century Schoolbook"/>
          <w:strike/>
          <w:color w:val="FF0000"/>
          <w:szCs w:val="22"/>
        </w:rPr>
        <w:t xml:space="preserve">For FY 2014 – FY2015, BPA shall apply the following cost categories to calculate the cost associated with the delivery option for «Customer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Unspecified Resource Amounts served over the «Transfer System» transmission system:  losses, risk of increased curtailments, ancillary services, «and» increased cost of delivering remote BPA resources that BPA is acquiring at the time the non-federal resource is first included in «Customer </w:t>
      </w:r>
      <w:proofErr w:type="spellStart"/>
      <w:r w:rsidRPr="006A1D2E">
        <w:rPr>
          <w:rFonts w:cs="Century Schoolbook"/>
          <w:strike/>
          <w:color w:val="FF0000"/>
          <w:szCs w:val="22"/>
        </w:rPr>
        <w:t>Name»’s</w:t>
      </w:r>
      <w:proofErr w:type="spellEnd"/>
      <w:r w:rsidRPr="006A1D2E">
        <w:rPr>
          <w:rFonts w:cs="Century Schoolbook"/>
          <w:strike/>
          <w:color w:val="FF0000"/>
          <w:szCs w:val="22"/>
        </w:rPr>
        <w:t xml:space="preserve"> delivery option, «add additional cost categories that apply».</w:t>
      </w:r>
    </w:p>
    <w:p w14:paraId="1B2F9774" w14:textId="77777777" w:rsidR="008672E3" w:rsidRPr="006A1D2E" w:rsidRDefault="008672E3" w:rsidP="008672E3">
      <w:pPr>
        <w:ind w:left="720"/>
        <w:rPr>
          <w:i/>
          <w:strike/>
          <w:color w:val="FF0000"/>
          <w:szCs w:val="22"/>
        </w:rPr>
      </w:pPr>
      <w:r w:rsidRPr="006A1D2E">
        <w:rPr>
          <w:i/>
          <w:strike/>
          <w:color w:val="FF0000"/>
          <w:szCs w:val="22"/>
        </w:rPr>
        <w:t>End Option 2</w:t>
      </w:r>
      <w:bookmarkEnd w:id="1"/>
      <w:bookmarkEnd w:id="2"/>
    </w:p>
    <w:p w14:paraId="0BD2047A" w14:textId="77777777" w:rsidR="008672E3" w:rsidRPr="009708FE" w:rsidRDefault="008672E3" w:rsidP="008672E3">
      <w:pPr>
        <w:ind w:left="1440"/>
        <w:rPr>
          <w:i/>
          <w:szCs w:val="22"/>
          <w:u w:val="single"/>
        </w:rPr>
      </w:pPr>
    </w:p>
    <w:p w14:paraId="49B99072" w14:textId="77777777" w:rsidR="008672E3" w:rsidRPr="008672E3" w:rsidRDefault="008672E3">
      <w:pPr>
        <w:rPr>
          <w:b/>
          <w:bCs/>
        </w:rPr>
      </w:pPr>
    </w:p>
    <w:sectPr w:rsidR="008672E3" w:rsidRPr="008672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F8B6" w14:textId="77777777" w:rsidR="008672E3" w:rsidRDefault="008672E3" w:rsidP="008672E3">
      <w:r>
        <w:separator/>
      </w:r>
    </w:p>
  </w:endnote>
  <w:endnote w:type="continuationSeparator" w:id="0">
    <w:p w14:paraId="366505C8" w14:textId="77777777" w:rsidR="008672E3" w:rsidRDefault="008672E3" w:rsidP="0086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C1C44C4" w14:textId="77777777" w:rsidR="008672E3" w:rsidRPr="004B6EC7" w:rsidRDefault="008672E3" w:rsidP="008672E3">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38716ED" w14:textId="77777777" w:rsidR="008672E3" w:rsidRPr="004B6EC7" w:rsidRDefault="008672E3" w:rsidP="008672E3">
    <w:pPr>
      <w:pStyle w:val="Footer"/>
      <w:jc w:val="center"/>
      <w:rPr>
        <w:sz w:val="20"/>
        <w:szCs w:val="20"/>
      </w:rPr>
    </w:pPr>
  </w:p>
  <w:p w14:paraId="50876886" w14:textId="77777777" w:rsidR="008672E3" w:rsidRDefault="008672E3" w:rsidP="008672E3">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D9D4" w14:textId="77777777" w:rsidR="008672E3" w:rsidRDefault="008672E3" w:rsidP="008672E3">
      <w:r>
        <w:separator/>
      </w:r>
    </w:p>
  </w:footnote>
  <w:footnote w:type="continuationSeparator" w:id="0">
    <w:p w14:paraId="0FF46E70" w14:textId="77777777" w:rsidR="008672E3" w:rsidRDefault="008672E3" w:rsidP="0086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E3"/>
    <w:rsid w:val="00070988"/>
    <w:rsid w:val="001865B6"/>
    <w:rsid w:val="001E7FD7"/>
    <w:rsid w:val="002855E1"/>
    <w:rsid w:val="003340CF"/>
    <w:rsid w:val="00335B88"/>
    <w:rsid w:val="004A1FAD"/>
    <w:rsid w:val="004F4991"/>
    <w:rsid w:val="005B6CEA"/>
    <w:rsid w:val="006A1D2E"/>
    <w:rsid w:val="008672E3"/>
    <w:rsid w:val="00A81042"/>
    <w:rsid w:val="00B17F25"/>
    <w:rsid w:val="00C34BCC"/>
    <w:rsid w:val="00CA5C3A"/>
    <w:rsid w:val="00E01251"/>
    <w:rsid w:val="00E971B7"/>
    <w:rsid w:val="00EB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0572"/>
  <w15:chartTrackingRefBased/>
  <w15:docId w15:val="{2CEBC3F9-A9C5-48B1-87CF-0806FACD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E3"/>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8672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72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72E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72E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8672E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8672E3"/>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8672E3"/>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8672E3"/>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672E3"/>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2E3"/>
    <w:rPr>
      <w:rFonts w:eastAsiaTheme="majorEastAsia" w:cstheme="majorBidi"/>
      <w:color w:val="272727" w:themeColor="text1" w:themeTint="D8"/>
    </w:rPr>
  </w:style>
  <w:style w:type="paragraph" w:styleId="Title">
    <w:name w:val="Title"/>
    <w:basedOn w:val="Normal"/>
    <w:next w:val="Normal"/>
    <w:link w:val="TitleChar"/>
    <w:uiPriority w:val="10"/>
    <w:qFormat/>
    <w:rsid w:val="008672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7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2E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7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2E3"/>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8672E3"/>
    <w:rPr>
      <w:i/>
      <w:iCs/>
      <w:color w:val="404040" w:themeColor="text1" w:themeTint="BF"/>
    </w:rPr>
  </w:style>
  <w:style w:type="paragraph" w:styleId="ListParagraph">
    <w:name w:val="List Paragraph"/>
    <w:basedOn w:val="Normal"/>
    <w:uiPriority w:val="34"/>
    <w:qFormat/>
    <w:rsid w:val="008672E3"/>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8672E3"/>
    <w:rPr>
      <w:i/>
      <w:iCs/>
      <w:color w:val="0F4761" w:themeColor="accent1" w:themeShade="BF"/>
    </w:rPr>
  </w:style>
  <w:style w:type="paragraph" w:styleId="IntenseQuote">
    <w:name w:val="Intense Quote"/>
    <w:basedOn w:val="Normal"/>
    <w:next w:val="Normal"/>
    <w:link w:val="IntenseQuoteChar"/>
    <w:uiPriority w:val="30"/>
    <w:qFormat/>
    <w:rsid w:val="008672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8672E3"/>
    <w:rPr>
      <w:i/>
      <w:iCs/>
      <w:color w:val="0F4761" w:themeColor="accent1" w:themeShade="BF"/>
    </w:rPr>
  </w:style>
  <w:style w:type="character" w:styleId="IntenseReference">
    <w:name w:val="Intense Reference"/>
    <w:basedOn w:val="DefaultParagraphFont"/>
    <w:uiPriority w:val="32"/>
    <w:qFormat/>
    <w:rsid w:val="008672E3"/>
    <w:rPr>
      <w:b/>
      <w:bCs/>
      <w:smallCaps/>
      <w:color w:val="0F4761" w:themeColor="accent1" w:themeShade="BF"/>
      <w:spacing w:val="5"/>
    </w:rPr>
  </w:style>
  <w:style w:type="paragraph" w:styleId="Header">
    <w:name w:val="header"/>
    <w:basedOn w:val="Normal"/>
    <w:link w:val="HeaderChar"/>
    <w:uiPriority w:val="99"/>
    <w:unhideWhenUsed/>
    <w:rsid w:val="008672E3"/>
    <w:pPr>
      <w:tabs>
        <w:tab w:val="center" w:pos="4680"/>
        <w:tab w:val="right" w:pos="9360"/>
      </w:tabs>
    </w:pPr>
  </w:style>
  <w:style w:type="character" w:customStyle="1" w:styleId="HeaderChar">
    <w:name w:val="Header Char"/>
    <w:basedOn w:val="DefaultParagraphFont"/>
    <w:link w:val="Header"/>
    <w:uiPriority w:val="99"/>
    <w:rsid w:val="008672E3"/>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8672E3"/>
    <w:pPr>
      <w:tabs>
        <w:tab w:val="center" w:pos="4680"/>
        <w:tab w:val="right" w:pos="9360"/>
      </w:tabs>
    </w:pPr>
  </w:style>
  <w:style w:type="character" w:customStyle="1" w:styleId="FooterChar">
    <w:name w:val="Footer Char"/>
    <w:basedOn w:val="DefaultParagraphFont"/>
    <w:link w:val="Footer"/>
    <w:uiPriority w:val="99"/>
    <w:rsid w:val="008672E3"/>
    <w:rPr>
      <w:rFonts w:ascii="Century Schoolbook" w:eastAsia="Times New Roman" w:hAnsi="Century Schoolbook"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5FBA6-F8C0-4E91-BE26-83621DD9840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ccca0f-ee24-4c0d-8a9b-6cfbfc3ae17b"/>
    <ds:schemaRef ds:uri="http://www.w3.org/XML/1998/namespace"/>
  </ds:schemaRefs>
</ds:datastoreItem>
</file>

<file path=customXml/itemProps2.xml><?xml version="1.0" encoding="utf-8"?>
<ds:datastoreItem xmlns:ds="http://schemas.openxmlformats.org/officeDocument/2006/customXml" ds:itemID="{26D4FA19-DB48-44EB-B41C-BCB35457B538}">
  <ds:schemaRefs>
    <ds:schemaRef ds:uri="http://schemas.microsoft.com/sharepoint/v3/contenttype/forms"/>
  </ds:schemaRefs>
</ds:datastoreItem>
</file>

<file path=customXml/itemProps3.xml><?xml version="1.0" encoding="utf-8"?>
<ds:datastoreItem xmlns:ds="http://schemas.openxmlformats.org/officeDocument/2006/customXml" ds:itemID="{703B7BB8-E18C-416D-A8DF-02BF2407F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 Baseline Delivery Provision Language Redlines</dc:title>
  <dc:subject/>
  <dc:creator>Miller,Robyn M (BPA) - PSS-6</dc:creator>
  <cp:keywords/>
  <dc:description/>
  <cp:lastModifiedBy>Schaefer,Tara C (CONTR) - PS-6</cp:lastModifiedBy>
  <cp:revision>2</cp:revision>
  <dcterms:created xsi:type="dcterms:W3CDTF">2024-09-10T21:11:00Z</dcterms:created>
  <dcterms:modified xsi:type="dcterms:W3CDTF">2024-09-10T21:11:00Z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