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37E860" w14:textId="690DE595" w:rsidR="00F130D3" w:rsidRPr="007D792D" w:rsidRDefault="00593586" w:rsidP="00972C4F">
      <w:pPr>
        <w:pStyle w:val="Title"/>
        <w:rPr>
          <w:rFonts w:asciiTheme="minorHAnsi" w:hAnsiTheme="minorHAnsi" w:cstheme="minorHAnsi"/>
        </w:rPr>
      </w:pPr>
      <w:r>
        <w:rPr>
          <w:rFonts w:asciiTheme="minorHAnsi" w:hAnsiTheme="minorHAnsi" w:cstheme="minorHAnsi"/>
        </w:rPr>
        <w:t>Non-residential Lighting Distributor Sales Data Gaps</w:t>
      </w:r>
    </w:p>
    <w:p w14:paraId="6DDA7DAB" w14:textId="77777777" w:rsidR="00DC09BF" w:rsidRDefault="00DC09BF" w:rsidP="0058074A">
      <w:pPr>
        <w:pStyle w:val="BodyText"/>
      </w:pPr>
    </w:p>
    <w:p w14:paraId="7213FE4E" w14:textId="77777777" w:rsidR="00DC09BF" w:rsidRPr="009C27D5" w:rsidRDefault="00DC09BF" w:rsidP="009C27D5">
      <w:pPr>
        <w:pStyle w:val="Subtitle"/>
      </w:pPr>
      <w:r w:rsidRPr="009C27D5">
        <w:t>BONNEVILLE POWER ADMINISTRATION</w:t>
      </w:r>
    </w:p>
    <w:p w14:paraId="040FF9D7" w14:textId="6AB219B0" w:rsidR="00CF2A42" w:rsidRPr="00571672" w:rsidRDefault="00F130D3" w:rsidP="00571672">
      <w:pPr>
        <w:pStyle w:val="Subtitle"/>
        <w:rPr>
          <w:color w:val="1CBECA" w:themeColor="accent4"/>
        </w:rPr>
      </w:pPr>
      <w:r w:rsidRPr="00571672">
        <w:rPr>
          <w:noProof/>
          <w:color w:val="1CBECA" w:themeColor="accent4"/>
          <w:sz w:val="72"/>
          <w:szCs w:val="72"/>
        </w:rPr>
        <w:drawing>
          <wp:anchor distT="0" distB="0" distL="114300" distR="114300" simplePos="0" relativeHeight="251662336" behindDoc="0" locked="0" layoutInCell="1" allowOverlap="1" wp14:anchorId="3DB2C902" wp14:editId="0ED631DD">
            <wp:simplePos x="0" y="0"/>
            <wp:positionH relativeFrom="margin">
              <wp:posOffset>5172792</wp:posOffset>
            </wp:positionH>
            <wp:positionV relativeFrom="page">
              <wp:posOffset>8738870</wp:posOffset>
            </wp:positionV>
            <wp:extent cx="1471295" cy="1136650"/>
            <wp:effectExtent l="0" t="0" r="0" b="0"/>
            <wp:wrapNone/>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1295" cy="1136650"/>
                    </a:xfrm>
                    <a:prstGeom prst="rect">
                      <a:avLst/>
                    </a:prstGeom>
                  </pic:spPr>
                </pic:pic>
              </a:graphicData>
            </a:graphic>
            <wp14:sizeRelH relativeFrom="page">
              <wp14:pctWidth>0</wp14:pctWidth>
            </wp14:sizeRelH>
            <wp14:sizeRelV relativeFrom="page">
              <wp14:pctHeight>0</wp14:pctHeight>
            </wp14:sizeRelV>
          </wp:anchor>
        </w:drawing>
      </w:r>
      <w:r w:rsidR="00AE754D" w:rsidRPr="00571672">
        <w:rPr>
          <w:noProof/>
          <w:color w:val="1CBECA" w:themeColor="accent4"/>
          <w:sz w:val="72"/>
          <w:szCs w:val="72"/>
        </w:rPr>
        <w:drawing>
          <wp:anchor distT="0" distB="0" distL="114300" distR="114300" simplePos="0" relativeHeight="251661312" behindDoc="1" locked="0" layoutInCell="1" allowOverlap="1" wp14:anchorId="4A43A07C" wp14:editId="1F708D8A">
            <wp:simplePos x="0" y="0"/>
            <wp:positionH relativeFrom="page">
              <wp:align>right</wp:align>
            </wp:positionH>
            <wp:positionV relativeFrom="page">
              <wp:posOffset>3827145</wp:posOffset>
            </wp:positionV>
            <wp:extent cx="7771765" cy="7157085"/>
            <wp:effectExtent l="0" t="0" r="635" b="5715"/>
            <wp:wrapNone/>
            <wp:docPr id="2" name="Picture 1" descr="Chart&#10;&#10;Description automatically generated with medium confidence">
              <a:extLst xmlns:a="http://schemas.openxmlformats.org/drawingml/2006/main">
                <a:ext uri="{FF2B5EF4-FFF2-40B4-BE49-F238E27FC236}">
                  <a16:creationId xmlns:a16="http://schemas.microsoft.com/office/drawing/2014/main" id="{A9380484-71A5-E8D2-77B4-FA4D4D7B9B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10;&#10;Description automatically generated with medium confidence">
                      <a:extLst>
                        <a:ext uri="{FF2B5EF4-FFF2-40B4-BE49-F238E27FC236}">
                          <a16:creationId xmlns:a16="http://schemas.microsoft.com/office/drawing/2014/main" id="{A9380484-71A5-E8D2-77B4-FA4D4D7B9BFB}"/>
                        </a:ext>
                      </a:extLst>
                    </pic:cNvPr>
                    <pic:cNvPicPr>
                      <a:picLocks noChangeAspect="1"/>
                    </pic:cNvPicPr>
                  </pic:nvPicPr>
                  <pic:blipFill rotWithShape="1">
                    <a:blip r:embed="rId12">
                      <a:extLst>
                        <a:ext uri="{28A0092B-C50C-407E-A947-70E740481C1C}">
                          <a14:useLocalDpi xmlns:a14="http://schemas.microsoft.com/office/drawing/2010/main" val="0"/>
                        </a:ext>
                      </a:extLst>
                    </a:blip>
                    <a:srcRect l="22262" t="-11500" r="13214" b="18263"/>
                    <a:stretch/>
                  </pic:blipFill>
                  <pic:spPr bwMode="auto">
                    <a:xfrm>
                      <a:off x="0" y="0"/>
                      <a:ext cx="7771765" cy="7157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09BF" w:rsidRPr="00571672">
        <w:rPr>
          <w:color w:val="1CBECA" w:themeColor="accent4"/>
        </w:rPr>
        <w:t>JU</w:t>
      </w:r>
      <w:r w:rsidR="00EA0F17">
        <w:rPr>
          <w:color w:val="1CBECA" w:themeColor="accent4"/>
        </w:rPr>
        <w:t>ly</w:t>
      </w:r>
      <w:r w:rsidR="00DC09BF" w:rsidRPr="00571672">
        <w:rPr>
          <w:color w:val="1CBECA" w:themeColor="accent4"/>
        </w:rPr>
        <w:t xml:space="preserve"> 202</w:t>
      </w:r>
      <w:r w:rsidR="00593586">
        <w:rPr>
          <w:color w:val="1CBECA" w:themeColor="accent4"/>
        </w:rPr>
        <w:t>3</w:t>
      </w:r>
    </w:p>
    <w:p w14:paraId="73F05830" w14:textId="77777777" w:rsidR="00CF2A42" w:rsidRDefault="00CF2A42" w:rsidP="0058074A">
      <w:pPr>
        <w:pStyle w:val="BodyText"/>
        <w:sectPr w:rsidR="00CF2A42" w:rsidSect="00CF2A42">
          <w:headerReference w:type="default" r:id="rId13"/>
          <w:footerReference w:type="default" r:id="rId14"/>
          <w:pgSz w:w="12240" w:h="15840"/>
          <w:pgMar w:top="1440" w:right="1440" w:bottom="1440" w:left="1440" w:header="720" w:footer="720" w:gutter="0"/>
          <w:cols w:space="720"/>
          <w:docGrid w:linePitch="360"/>
        </w:sectPr>
      </w:pPr>
    </w:p>
    <w:p w14:paraId="66741449" w14:textId="77777777" w:rsidR="00C643A2" w:rsidRPr="00DC09BF" w:rsidRDefault="00C643A2" w:rsidP="0058074A">
      <w:pPr>
        <w:pStyle w:val="BodyText"/>
        <w:rPr>
          <w:spacing w:val="60"/>
        </w:rPr>
      </w:pPr>
      <w:r w:rsidRPr="00DC09BF">
        <w:br w:type="page"/>
      </w:r>
    </w:p>
    <w:p w14:paraId="16073116" w14:textId="77777777" w:rsidR="00A9629D" w:rsidRPr="00CF2A42" w:rsidRDefault="008E14D5" w:rsidP="00E10A3E">
      <w:pPr>
        <w:pStyle w:val="TOCHeading"/>
      </w:pPr>
      <w:r w:rsidRPr="00CF2A42">
        <w:lastRenderedPageBreak/>
        <w:t>Contributors</w:t>
      </w:r>
    </w:p>
    <w:p w14:paraId="2CF2DA1B" w14:textId="52845CB5" w:rsidR="00DE24B0" w:rsidRDefault="00593586" w:rsidP="0058074A">
      <w:pPr>
        <w:pStyle w:val="BodyText"/>
        <w:rPr>
          <w:color w:val="94A0AE" w:themeColor="text2" w:themeTint="99"/>
        </w:rPr>
      </w:pPr>
      <w:r>
        <w:t xml:space="preserve">Kate Donaldson, </w:t>
      </w:r>
      <w:r w:rsidR="001D0AFB">
        <w:t xml:space="preserve">Eric Dimperio, </w:t>
      </w:r>
      <w:r>
        <w:t>Kate Bushman</w:t>
      </w:r>
    </w:p>
    <w:p w14:paraId="7BA611BA" w14:textId="77777777" w:rsidR="00972C4F" w:rsidRPr="003A5AD2" w:rsidRDefault="00972C4F" w:rsidP="0058074A">
      <w:pPr>
        <w:pStyle w:val="BodyText"/>
        <w:rPr>
          <w:color w:val="94A0AE" w:themeColor="text2" w:themeTint="99"/>
        </w:rPr>
      </w:pPr>
      <w:r w:rsidRPr="003A5AD2">
        <w:rPr>
          <w:color w:val="94A0AE" w:themeColor="text2" w:themeTint="99"/>
        </w:rPr>
        <w:t>Cadeo Group</w:t>
      </w:r>
    </w:p>
    <w:p w14:paraId="2D02F732" w14:textId="77777777" w:rsidR="00DE24B0" w:rsidRDefault="00DE24B0" w:rsidP="0058074A">
      <w:pPr>
        <w:pStyle w:val="BodyText"/>
      </w:pPr>
    </w:p>
    <w:p w14:paraId="65D1FEEC" w14:textId="77777777" w:rsidR="00DE24B0" w:rsidRDefault="00DE24B0" w:rsidP="0058074A">
      <w:pPr>
        <w:pStyle w:val="BodyText"/>
      </w:pPr>
    </w:p>
    <w:p w14:paraId="442D81B2" w14:textId="1FE3C45F" w:rsidR="00DE24B0" w:rsidRPr="00DE24B0" w:rsidRDefault="00DE24B0" w:rsidP="0058074A">
      <w:pPr>
        <w:pStyle w:val="BodyText"/>
      </w:pPr>
      <w:r w:rsidRPr="00DE24B0">
        <w:t xml:space="preserve">Please refer questions to the BPA Project Lead, </w:t>
      </w:r>
      <w:r w:rsidR="00593586">
        <w:t>Juan Carlos Blacker</w:t>
      </w:r>
      <w:r w:rsidRPr="00DE24B0">
        <w:t xml:space="preserve">, at </w:t>
      </w:r>
      <w:hyperlink r:id="rId15" w:history="1">
        <w:r w:rsidR="00593586" w:rsidRPr="002B65F9">
          <w:rPr>
            <w:rStyle w:val="Hyperlink"/>
            <w:i/>
            <w:iCs/>
          </w:rPr>
          <w:t>jcblacker@bpa.gov</w:t>
        </w:r>
      </w:hyperlink>
      <w:r w:rsidRPr="00DE24B0">
        <w:t>.</w:t>
      </w:r>
    </w:p>
    <w:p w14:paraId="20D55AF7" w14:textId="77777777" w:rsidR="00297CCC" w:rsidRDefault="00297CCC" w:rsidP="0058074A">
      <w:pPr>
        <w:pStyle w:val="BodyText"/>
      </w:pPr>
    </w:p>
    <w:p w14:paraId="340F6C48" w14:textId="77777777" w:rsidR="008C422A" w:rsidRDefault="008C422A" w:rsidP="0058074A">
      <w:pPr>
        <w:pStyle w:val="BodyText"/>
        <w:sectPr w:rsidR="008C422A" w:rsidSect="007C76DC">
          <w:headerReference w:type="default" r:id="rId16"/>
          <w:footerReference w:type="default" r:id="rId17"/>
          <w:type w:val="continuous"/>
          <w:pgSz w:w="12240" w:h="15840"/>
          <w:pgMar w:top="1440" w:right="1440" w:bottom="1440" w:left="1440" w:header="720" w:footer="720" w:gutter="0"/>
          <w:cols w:space="720"/>
          <w:docGrid w:linePitch="360"/>
        </w:sectPr>
      </w:pPr>
    </w:p>
    <w:p w14:paraId="4EB9C29F" w14:textId="77777777" w:rsidR="00CF2A42" w:rsidRPr="00E10A3E" w:rsidRDefault="00CF2A42" w:rsidP="00E10A3E">
      <w:pPr>
        <w:pStyle w:val="Heading1"/>
      </w:pPr>
      <w:bookmarkStart w:id="0" w:name="_Toc115444037"/>
      <w:r w:rsidRPr="00E10A3E">
        <w:lastRenderedPageBreak/>
        <w:t>Introduction</w:t>
      </w:r>
      <w:bookmarkEnd w:id="0"/>
    </w:p>
    <w:p w14:paraId="79CD3595" w14:textId="0D30D36A" w:rsidR="005B305E" w:rsidRDefault="00457D8B" w:rsidP="00593586">
      <w:pPr>
        <w:pStyle w:val="BodyText"/>
      </w:pPr>
      <w:r>
        <w:t xml:space="preserve">Through its </w:t>
      </w:r>
      <w:r w:rsidR="00D31EF1">
        <w:t>N</w:t>
      </w:r>
      <w:r>
        <w:t>on-</w:t>
      </w:r>
      <w:r w:rsidR="00EB1BC4">
        <w:t>r</w:t>
      </w:r>
      <w:r>
        <w:t xml:space="preserve">esidential </w:t>
      </w:r>
      <w:r w:rsidR="00D31EF1">
        <w:t>L</w:t>
      </w:r>
      <w:r>
        <w:t xml:space="preserve">ighting </w:t>
      </w:r>
      <w:r w:rsidR="00D31EF1">
        <w:t>M</w:t>
      </w:r>
      <w:r>
        <w:t xml:space="preserve">arket </w:t>
      </w:r>
      <w:r w:rsidR="00D31EF1">
        <w:t>M</w:t>
      </w:r>
      <w:r>
        <w:t>odel</w:t>
      </w:r>
      <w:r w:rsidR="00D31EF1">
        <w:t xml:space="preserve"> (the model)</w:t>
      </w:r>
      <w:r>
        <w:t xml:space="preserve">, the Bonneville Power Administration (BPA) tracks how total non-residential lighting energy consumption changes over time. </w:t>
      </w:r>
      <w:r w:rsidR="00D31EF1">
        <w:t>The model</w:t>
      </w:r>
      <w:r>
        <w:t xml:space="preserve"> is an important regional resource in understanding non-residential lighting energy consumption changes and market trends over time. To support the model, BPA partners with </w:t>
      </w:r>
      <w:r w:rsidR="00EB1BC4">
        <w:t>the Northwest Energy Efficiency Alliance (</w:t>
      </w:r>
      <w:r>
        <w:t>NEEA</w:t>
      </w:r>
      <w:r w:rsidR="00EB1BC4">
        <w:t>)</w:t>
      </w:r>
      <w:r>
        <w:t xml:space="preserve"> to collect sales data from regional lighting and electrical distributors annually. </w:t>
      </w:r>
    </w:p>
    <w:p w14:paraId="61AB24C1" w14:textId="7631B52E" w:rsidR="007E1814" w:rsidRDefault="00593586" w:rsidP="00593586">
      <w:pPr>
        <w:pStyle w:val="BodyText"/>
      </w:pPr>
      <w:r w:rsidRPr="00593586">
        <w:t xml:space="preserve">This </w:t>
      </w:r>
      <w:r w:rsidR="00EB1BC4">
        <w:t>report</w:t>
      </w:r>
      <w:r w:rsidR="00EB1BC4" w:rsidRPr="00593586">
        <w:t xml:space="preserve"> </w:t>
      </w:r>
      <w:r w:rsidRPr="00593586">
        <w:t>describes the process</w:t>
      </w:r>
      <w:r w:rsidR="00AA7818">
        <w:t xml:space="preserve"> </w:t>
      </w:r>
      <w:r w:rsidR="00E91E47">
        <w:t xml:space="preserve">that </w:t>
      </w:r>
      <w:r w:rsidR="00EB1BC4">
        <w:t>Cadeo</w:t>
      </w:r>
      <w:r w:rsidR="00AA7818">
        <w:t xml:space="preserve"> </w:t>
      </w:r>
      <w:r w:rsidR="00EB1BC4">
        <w:t>(the research team),</w:t>
      </w:r>
      <w:r w:rsidRPr="00593586">
        <w:t xml:space="preserve"> </w:t>
      </w:r>
      <w:r w:rsidR="00457D8B">
        <w:t xml:space="preserve">BPA, </w:t>
      </w:r>
      <w:r w:rsidR="00EB1BC4">
        <w:t xml:space="preserve">and </w:t>
      </w:r>
      <w:r w:rsidR="00457D8B">
        <w:t xml:space="preserve">NEEA, </w:t>
      </w:r>
      <w:r w:rsidRPr="00593586">
        <w:t xml:space="preserve">used to collect and analyze distributor sales data for the non-residential lighting market in the Pacific Northwest. It also discusses the resulting data’s strengths and uncertainties. The research team has organized the content of this </w:t>
      </w:r>
      <w:r w:rsidR="00EB1BC4">
        <w:t>report</w:t>
      </w:r>
      <w:r w:rsidR="00EB1BC4" w:rsidRPr="00593586">
        <w:t xml:space="preserve"> </w:t>
      </w:r>
      <w:r w:rsidRPr="00593586">
        <w:t>into the following sections</w:t>
      </w:r>
      <w:r>
        <w:t>:</w:t>
      </w:r>
    </w:p>
    <w:p w14:paraId="5242D1DC" w14:textId="0A0D1A95" w:rsidR="00593586" w:rsidRDefault="00593586" w:rsidP="00E91E47">
      <w:pPr>
        <w:pStyle w:val="ListBullet"/>
      </w:pPr>
      <w:r>
        <w:t>Data Summary</w:t>
      </w:r>
      <w:r w:rsidR="00136368">
        <w:t xml:space="preserve"> and</w:t>
      </w:r>
      <w:r>
        <w:t xml:space="preserve"> Representativeness </w:t>
      </w:r>
    </w:p>
    <w:p w14:paraId="6879B7CA" w14:textId="28E0CBB0" w:rsidR="00593586" w:rsidRDefault="00593586" w:rsidP="00593586">
      <w:pPr>
        <w:pStyle w:val="ListBullet"/>
      </w:pPr>
      <w:r>
        <w:t>Outreach and Data Collection</w:t>
      </w:r>
    </w:p>
    <w:p w14:paraId="208CBC8B" w14:textId="40F97190" w:rsidR="00593586" w:rsidRDefault="00593586" w:rsidP="00593586">
      <w:pPr>
        <w:pStyle w:val="ListBullet"/>
      </w:pPr>
      <w:r>
        <w:t>Data Structure</w:t>
      </w:r>
    </w:p>
    <w:p w14:paraId="5229D326" w14:textId="6CF700A4" w:rsidR="00593586" w:rsidRDefault="00593586" w:rsidP="00593586">
      <w:pPr>
        <w:pStyle w:val="ListBullet"/>
      </w:pPr>
      <w:r>
        <w:t>Summary of Data Gaps and Sources of Uncertainty</w:t>
      </w:r>
    </w:p>
    <w:p w14:paraId="29962A8E" w14:textId="2FF80FAD" w:rsidR="00593586" w:rsidRDefault="00593586" w:rsidP="00593586">
      <w:pPr>
        <w:pStyle w:val="ListBullet"/>
      </w:pPr>
      <w:r>
        <w:t>Extrapolation Methodology</w:t>
      </w:r>
      <w:r w:rsidR="009D7542">
        <w:t xml:space="preserve"> and Findings</w:t>
      </w:r>
    </w:p>
    <w:p w14:paraId="1CFCAEAD" w14:textId="755E8E14" w:rsidR="00487ECB" w:rsidRDefault="00593586" w:rsidP="00487ECB">
      <w:pPr>
        <w:pStyle w:val="ListBullet"/>
      </w:pPr>
      <w:r>
        <w:t>Recommendations for Addressing Data Gaps</w:t>
      </w:r>
    </w:p>
    <w:p w14:paraId="50D22299" w14:textId="436C654D" w:rsidR="002C71BD" w:rsidRDefault="00136368" w:rsidP="00E10A3E">
      <w:pPr>
        <w:pStyle w:val="Heading1"/>
      </w:pPr>
      <w:r>
        <w:lastRenderedPageBreak/>
        <w:t>Data Summary and Representativeness</w:t>
      </w:r>
    </w:p>
    <w:p w14:paraId="17E01D4B" w14:textId="2D31683F" w:rsidR="00136368" w:rsidRDefault="00136368" w:rsidP="00136368">
      <w:pPr>
        <w:pStyle w:val="Heading2"/>
      </w:pPr>
      <w:r>
        <w:t>Data Summary</w:t>
      </w:r>
    </w:p>
    <w:p w14:paraId="176039BA" w14:textId="78F8B83E" w:rsidR="00136368" w:rsidRDefault="00136368" w:rsidP="00136368">
      <w:pPr>
        <w:pStyle w:val="BodyText"/>
      </w:pPr>
      <w:r w:rsidRPr="00136368">
        <w:t>During the 202</w:t>
      </w:r>
      <w:r w:rsidR="00FA4E72">
        <w:t>3</w:t>
      </w:r>
      <w:r w:rsidRPr="00136368">
        <w:t xml:space="preserve"> non-residential lighting data collection effort, the research team gathered distributor data from 20</w:t>
      </w:r>
      <w:r w:rsidR="00FA4E72">
        <w:t>21</w:t>
      </w:r>
      <w:r w:rsidRPr="00136368">
        <w:t xml:space="preserve"> to 202</w:t>
      </w:r>
      <w:r w:rsidR="00FA4E72">
        <w:t>2</w:t>
      </w:r>
      <w:r w:rsidRPr="00136368">
        <w:t xml:space="preserve">. A total of 24 distributors submitted data to the research team in </w:t>
      </w:r>
      <w:r w:rsidR="00FA4E72">
        <w:t>2023</w:t>
      </w:r>
      <w:r w:rsidRPr="00136368">
        <w:t>. The research team merged these data with data collected in previous studies spanning the years 2013 to 20</w:t>
      </w:r>
      <w:r w:rsidR="00FA4E72">
        <w:t>20</w:t>
      </w:r>
      <w:r w:rsidRPr="00136368">
        <w:t>, resulting in a data</w:t>
      </w:r>
      <w:r w:rsidR="0021306D">
        <w:t xml:space="preserve"> </w:t>
      </w:r>
      <w:r w:rsidRPr="00136368">
        <w:t>set spanning 2013 to 202</w:t>
      </w:r>
      <w:r w:rsidR="00FA4E72">
        <w:t>2</w:t>
      </w:r>
      <w:r w:rsidRPr="00136368">
        <w:t>.</w:t>
      </w:r>
    </w:p>
    <w:p w14:paraId="4E05D894" w14:textId="4C935727" w:rsidR="00136368" w:rsidRDefault="00136368" w:rsidP="00136368">
      <w:pPr>
        <w:pStyle w:val="Heading2"/>
      </w:pPr>
      <w:r>
        <w:t>Data Representativeness</w:t>
      </w:r>
    </w:p>
    <w:p w14:paraId="5CB81DBD" w14:textId="1CE556F7" w:rsidR="00136368" w:rsidRDefault="00136368" w:rsidP="00136368">
      <w:pPr>
        <w:pStyle w:val="BodyText"/>
      </w:pPr>
      <w:r w:rsidRPr="00136368">
        <w:t>The research team reviewed participation data</w:t>
      </w:r>
      <w:r w:rsidR="00EB1BC4">
        <w:t xml:space="preserve"> for 2022</w:t>
      </w:r>
      <w:r w:rsidRPr="00136368">
        <w:t xml:space="preserve"> and the cumulative data collected since 2013 to determine the extent that the data</w:t>
      </w:r>
      <w:r w:rsidR="0021306D">
        <w:t xml:space="preserve"> </w:t>
      </w:r>
      <w:r w:rsidRPr="00136368">
        <w:t>set accurately represents the non-residential lighting market. This review had two components: representation within specific segments (e.g., individual business models) and representation across channels (e.g., sales beyond traditional distributors). The following section uses two figures to demonstrate data representativeness and outlines possible data collection and analysis improvements that could lead to more accurate representation in the future.</w:t>
      </w:r>
    </w:p>
    <w:p w14:paraId="29C7BD50" w14:textId="21DC0115" w:rsidR="00136368" w:rsidRDefault="00136368" w:rsidP="00136368">
      <w:pPr>
        <w:pStyle w:val="Heading3"/>
      </w:pPr>
      <w:r>
        <w:t>Representativeness Findings</w:t>
      </w:r>
    </w:p>
    <w:p w14:paraId="2C66692C" w14:textId="66E7F86E" w:rsidR="00136368" w:rsidRPr="00F34CA3" w:rsidRDefault="00D57949" w:rsidP="000160F4">
      <w:pPr>
        <w:pStyle w:val="BodyText"/>
      </w:pPr>
      <w:r>
        <w:fldChar w:fldCharType="begin"/>
      </w:r>
      <w:r>
        <w:instrText xml:space="preserve"> REF _Ref137107639 \h </w:instrText>
      </w:r>
      <w:r>
        <w:fldChar w:fldCharType="separate"/>
      </w:r>
      <w:r w:rsidR="00C02B88">
        <w:t xml:space="preserve">Figure </w:t>
      </w:r>
      <w:r w:rsidR="00C02B88">
        <w:rPr>
          <w:noProof/>
        </w:rPr>
        <w:t>1</w:t>
      </w:r>
      <w:r>
        <w:fldChar w:fldCharType="end"/>
      </w:r>
      <w:r w:rsidR="00136368" w:rsidRPr="00F34CA3">
        <w:t xml:space="preserve"> shows the mix of </w:t>
      </w:r>
      <w:r w:rsidR="000160F4">
        <w:t xml:space="preserve">the 24 </w:t>
      </w:r>
      <w:r w:rsidR="00136368" w:rsidRPr="00F34CA3">
        <w:t>participating distributors</w:t>
      </w:r>
      <w:r w:rsidR="000160F4">
        <w:t xml:space="preserve"> </w:t>
      </w:r>
      <w:r w:rsidR="00136368" w:rsidRPr="00F34CA3">
        <w:t>by relative size, distribution area, and business model</w:t>
      </w:r>
      <w:r w:rsidR="000160F4" w:rsidRPr="00F34CA3">
        <w:t xml:space="preserve"> </w:t>
      </w:r>
      <w:r w:rsidR="00136368" w:rsidRPr="00F34CA3">
        <w:t>compared to</w:t>
      </w:r>
      <w:r w:rsidR="000160F4">
        <w:t xml:space="preserve"> the mix of 4</w:t>
      </w:r>
      <w:r w:rsidR="00A0726A">
        <w:t>8</w:t>
      </w:r>
      <w:r w:rsidR="000160F4">
        <w:t xml:space="preserve"> participating distributors and extrapolated</w:t>
      </w:r>
      <w:r w:rsidR="000160F4">
        <w:rPr>
          <w:rStyle w:val="FootnoteReference"/>
        </w:rPr>
        <w:footnoteReference w:id="1"/>
      </w:r>
      <w:r w:rsidR="000160F4">
        <w:t xml:space="preserve"> distributors represented in the 2022 data</w:t>
      </w:r>
      <w:r w:rsidR="0021306D">
        <w:t xml:space="preserve"> </w:t>
      </w:r>
      <w:r w:rsidR="000160F4">
        <w:t xml:space="preserve">set and the </w:t>
      </w:r>
      <w:r w:rsidR="00136368" w:rsidRPr="00F34CA3">
        <w:t xml:space="preserve">distributor population mix in the Pacific Northwest. </w:t>
      </w:r>
      <w:r w:rsidR="00272629">
        <w:fldChar w:fldCharType="begin"/>
      </w:r>
      <w:r w:rsidR="00272629">
        <w:instrText xml:space="preserve"> REF _Ref133834481 \h </w:instrText>
      </w:r>
      <w:r w:rsidR="00272629">
        <w:fldChar w:fldCharType="separate"/>
      </w:r>
      <w:r w:rsidR="00272629" w:rsidRPr="00843C34">
        <w:t>Appendix 1: Summary of Distributor Business Model Types</w:t>
      </w:r>
      <w:r w:rsidR="00272629">
        <w:fldChar w:fldCharType="end"/>
      </w:r>
      <w:r w:rsidR="00272629">
        <w:t xml:space="preserve"> describes each business model type in detail.</w:t>
      </w:r>
    </w:p>
    <w:p w14:paraId="3CC7CBD6" w14:textId="77777777" w:rsidR="00D57949" w:rsidRDefault="00D57949" w:rsidP="00136368">
      <w:pPr>
        <w:keepNext/>
        <w:jc w:val="center"/>
      </w:pPr>
    </w:p>
    <w:p w14:paraId="57E3A230" w14:textId="7FE6FA73" w:rsidR="00D57949" w:rsidRDefault="00D57949" w:rsidP="00D57949">
      <w:pPr>
        <w:pStyle w:val="Caption"/>
      </w:pPr>
      <w:bookmarkStart w:id="1" w:name="_Ref137107639"/>
      <w:r>
        <w:t xml:space="preserve">Figure </w:t>
      </w:r>
      <w:fldSimple w:instr=" SEQ Figure \* ARABIC ">
        <w:r w:rsidR="00C02B88">
          <w:rPr>
            <w:noProof/>
          </w:rPr>
          <w:t>1</w:t>
        </w:r>
      </w:fldSimple>
      <w:bookmarkEnd w:id="1"/>
      <w:r>
        <w:t xml:space="preserve">: </w:t>
      </w:r>
      <w:r w:rsidRPr="00F34CA3">
        <w:t>Characteristics of Distributors Submitting Data Compared to the Pacific Northwest Distributor Population</w:t>
      </w:r>
      <w:r>
        <w:t xml:space="preserve"> </w:t>
      </w:r>
    </w:p>
    <w:p w14:paraId="5FF5B475" w14:textId="5DA267CD" w:rsidR="00136368" w:rsidRPr="00F34CA3" w:rsidRDefault="0085688B" w:rsidP="00136368">
      <w:pPr>
        <w:keepNext/>
        <w:jc w:val="center"/>
      </w:pPr>
      <w:r>
        <w:rPr>
          <w:noProof/>
        </w:rPr>
        <w:drawing>
          <wp:inline distT="0" distB="0" distL="0" distR="0" wp14:anchorId="3A751118" wp14:editId="10633344">
            <wp:extent cx="5943600" cy="3021330"/>
            <wp:effectExtent l="0" t="0" r="0" b="7620"/>
            <wp:docPr id="1089315881"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15881" name="Picture 1" descr="A picture containing text, screenshot, diagram, font&#10;&#10;Description automatically generated"/>
                    <pic:cNvPicPr/>
                  </pic:nvPicPr>
                  <pic:blipFill>
                    <a:blip r:embed="rId18"/>
                    <a:stretch>
                      <a:fillRect/>
                    </a:stretch>
                  </pic:blipFill>
                  <pic:spPr>
                    <a:xfrm>
                      <a:off x="0" y="0"/>
                      <a:ext cx="5943600" cy="3021330"/>
                    </a:xfrm>
                    <a:prstGeom prst="rect">
                      <a:avLst/>
                    </a:prstGeom>
                  </pic:spPr>
                </pic:pic>
              </a:graphicData>
            </a:graphic>
          </wp:inline>
        </w:drawing>
      </w:r>
    </w:p>
    <w:p w14:paraId="7018E74F" w14:textId="223647D8" w:rsidR="00136368" w:rsidRPr="00F34CA3" w:rsidRDefault="00136368" w:rsidP="00136368">
      <w:pPr>
        <w:pStyle w:val="Source"/>
      </w:pPr>
      <w:bookmarkStart w:id="2" w:name="_Hlk106260934"/>
      <w:r w:rsidRPr="00F34CA3">
        <w:t xml:space="preserve">Source: </w:t>
      </w:r>
      <w:r w:rsidR="00A0726A">
        <w:t xml:space="preserve">2023 </w:t>
      </w:r>
      <w:r w:rsidRPr="00F34CA3">
        <w:t>BPA distributor database</w:t>
      </w:r>
      <w:r>
        <w:t xml:space="preserve"> (population)</w:t>
      </w:r>
    </w:p>
    <w:bookmarkEnd w:id="2"/>
    <w:p w14:paraId="2D4FC8E4" w14:textId="102E810C" w:rsidR="00136368" w:rsidRPr="00F34CA3" w:rsidRDefault="00136368" w:rsidP="00136368">
      <w:pPr>
        <w:pStyle w:val="BodyText"/>
      </w:pPr>
      <w:r w:rsidRPr="00F34CA3">
        <w:t xml:space="preserve">Population data comes from </w:t>
      </w:r>
      <w:r w:rsidR="002A6B86">
        <w:t>BPA’s</w:t>
      </w:r>
      <w:r w:rsidRPr="00F34CA3">
        <w:t xml:space="preserve"> database. </w:t>
      </w:r>
      <w:r w:rsidR="002D69BB">
        <w:t xml:space="preserve">In 2023, the research team conducted outreach and web research to comprehensively update </w:t>
      </w:r>
      <w:r w:rsidR="0065338F">
        <w:t>the distributor database. The research team collected updated participant distributor information through the standardized survey tool distributors use to submit sales data as well as outreach following data submission to confirm key information like business model type. For non</w:t>
      </w:r>
      <w:r w:rsidR="008C3269">
        <w:t>participating</w:t>
      </w:r>
      <w:r w:rsidR="0065338F">
        <w:t xml:space="preserve"> distributors, the research team conducted </w:t>
      </w:r>
      <w:r w:rsidR="0065338F" w:rsidRPr="00F34CA3">
        <w:t xml:space="preserve">web searches for participating firms and </w:t>
      </w:r>
      <w:r w:rsidR="002A6B86" w:rsidRPr="00F34CA3">
        <w:t>populated</w:t>
      </w:r>
      <w:r w:rsidR="0065338F" w:rsidRPr="00F34CA3">
        <w:t xml:space="preserve"> the relevant firmographic details, like number and locations of branches, in the database. These updates were not comprehensive, as </w:t>
      </w:r>
      <w:r w:rsidR="0065338F">
        <w:t>the research team</w:t>
      </w:r>
      <w:r w:rsidR="0065338F" w:rsidRPr="00F34CA3">
        <w:t xml:space="preserve"> </w:t>
      </w:r>
      <w:r w:rsidR="0065338F">
        <w:t xml:space="preserve">was limited to what information was available on the web. </w:t>
      </w:r>
      <w:r>
        <w:t>However,</w:t>
      </w:r>
      <w:r w:rsidRPr="00F34CA3">
        <w:t xml:space="preserve"> these </w:t>
      </w:r>
      <w:r w:rsidR="0065338F">
        <w:t>changes refined the number o</w:t>
      </w:r>
      <w:r w:rsidRPr="00F34CA3">
        <w:t xml:space="preserve">f distributors represented in the database and </w:t>
      </w:r>
      <w:r w:rsidR="0065338F">
        <w:t>the p</w:t>
      </w:r>
      <w:r w:rsidR="0065338F" w:rsidRPr="00F34CA3">
        <w:t>opulation</w:t>
      </w:r>
      <w:r w:rsidRPr="00F34CA3">
        <w:t xml:space="preserve"> distributions in </w:t>
      </w:r>
      <w:r w:rsidR="00D57949">
        <w:fldChar w:fldCharType="begin"/>
      </w:r>
      <w:r w:rsidR="00D57949">
        <w:instrText xml:space="preserve"> REF _Ref137107639 \h </w:instrText>
      </w:r>
      <w:r w:rsidR="00D57949">
        <w:fldChar w:fldCharType="separate"/>
      </w:r>
      <w:r w:rsidR="00C02B88">
        <w:t xml:space="preserve">Figure </w:t>
      </w:r>
      <w:r w:rsidR="00C02B88">
        <w:rPr>
          <w:noProof/>
        </w:rPr>
        <w:t>1</w:t>
      </w:r>
      <w:r w:rsidR="00D57949">
        <w:fldChar w:fldCharType="end"/>
      </w:r>
      <w:r w:rsidRPr="00F34CA3">
        <w:t xml:space="preserve"> and shares of branch locations by state in </w:t>
      </w:r>
      <w:r w:rsidRPr="00F34CA3">
        <w:fldChar w:fldCharType="begin"/>
      </w:r>
      <w:r w:rsidRPr="00F34CA3">
        <w:instrText xml:space="preserve"> REF _Ref457169706 \h </w:instrText>
      </w:r>
      <w:r>
        <w:instrText xml:space="preserve"> \* MERGEFORMAT </w:instrText>
      </w:r>
      <w:r w:rsidRPr="00F34CA3">
        <w:fldChar w:fldCharType="separate"/>
      </w:r>
      <w:r w:rsidR="00C02B88" w:rsidRPr="00F34CA3">
        <w:t xml:space="preserve">Figure </w:t>
      </w:r>
      <w:r w:rsidR="00C02B88">
        <w:t>2</w:t>
      </w:r>
      <w:r w:rsidRPr="00F34CA3">
        <w:fldChar w:fldCharType="end"/>
      </w:r>
      <w:r w:rsidRPr="00F34CA3">
        <w:t xml:space="preserve"> below.</w:t>
      </w:r>
    </w:p>
    <w:p w14:paraId="68DAB056" w14:textId="1151A7D1" w:rsidR="00136368" w:rsidRPr="00F34CA3" w:rsidRDefault="00136368" w:rsidP="00136368">
      <w:pPr>
        <w:pStyle w:val="BodyText"/>
      </w:pPr>
      <w:r w:rsidRPr="00F34CA3">
        <w:fldChar w:fldCharType="begin"/>
      </w:r>
      <w:r w:rsidRPr="00F34CA3">
        <w:instrText xml:space="preserve"> REF _Ref457169706 \h </w:instrText>
      </w:r>
      <w:r>
        <w:instrText xml:space="preserve"> \* MERGEFORMAT </w:instrText>
      </w:r>
      <w:r w:rsidRPr="00F34CA3">
        <w:fldChar w:fldCharType="separate"/>
      </w:r>
      <w:r w:rsidR="00C02B88" w:rsidRPr="00F34CA3">
        <w:t xml:space="preserve">Figure </w:t>
      </w:r>
      <w:r w:rsidR="00C02B88">
        <w:t>2</w:t>
      </w:r>
      <w:r w:rsidRPr="00F34CA3">
        <w:fldChar w:fldCharType="end"/>
      </w:r>
      <w:r w:rsidRPr="00F34CA3">
        <w:t xml:space="preserve"> shows the distribution of lamp shipments and known branches for participating distributors by state. </w:t>
      </w:r>
      <w:r w:rsidRPr="00F34CA3">
        <w:fldChar w:fldCharType="begin"/>
      </w:r>
      <w:r w:rsidRPr="00F34CA3">
        <w:instrText xml:space="preserve"> REF _Ref457169706 \h </w:instrText>
      </w:r>
      <w:r>
        <w:instrText xml:space="preserve"> \* MERGEFORMAT </w:instrText>
      </w:r>
      <w:r w:rsidRPr="00F34CA3">
        <w:fldChar w:fldCharType="separate"/>
      </w:r>
      <w:r w:rsidR="00C02B88" w:rsidRPr="00F34CA3">
        <w:t xml:space="preserve">Figure </w:t>
      </w:r>
      <w:r w:rsidR="00C02B88">
        <w:t>2</w:t>
      </w:r>
      <w:r w:rsidRPr="00F34CA3">
        <w:fldChar w:fldCharType="end"/>
      </w:r>
      <w:r w:rsidRPr="00F34CA3">
        <w:t xml:space="preserve"> also shows the share of total commercial building floor space by state, as quantified by the regional 2019 Commercial Building Stock Assessment (CBSA). </w:t>
      </w:r>
      <w:r>
        <w:t xml:space="preserve">The </w:t>
      </w:r>
      <w:r w:rsidR="002A6B86">
        <w:t xml:space="preserve">research </w:t>
      </w:r>
      <w:r>
        <w:t xml:space="preserve">team observed these metrics within and between each state to determine </w:t>
      </w:r>
      <w:r w:rsidR="002A6B86">
        <w:t xml:space="preserve">whether </w:t>
      </w:r>
      <w:r>
        <w:t xml:space="preserve">sales data volume reasonably correlated with expected market size across the four-state region. </w:t>
      </w:r>
    </w:p>
    <w:p w14:paraId="25EB2128" w14:textId="51980317" w:rsidR="00136368" w:rsidRPr="00F34CA3" w:rsidRDefault="00136368" w:rsidP="00136368">
      <w:pPr>
        <w:pStyle w:val="Caption"/>
      </w:pPr>
      <w:bookmarkStart w:id="3" w:name="_Ref457169706"/>
      <w:r w:rsidRPr="00F34CA3">
        <w:lastRenderedPageBreak/>
        <w:t xml:space="preserve">Figure </w:t>
      </w:r>
      <w:fldSimple w:instr=" SEQ Figure \* ARABIC ">
        <w:r w:rsidR="00C02B88">
          <w:rPr>
            <w:noProof/>
          </w:rPr>
          <w:t>2</w:t>
        </w:r>
      </w:fldSimple>
      <w:bookmarkEnd w:id="3"/>
      <w:r w:rsidRPr="00F34CA3">
        <w:t>: Distributor Lamp Shipments, Floor Space, and Branches by State</w:t>
      </w:r>
      <w:r>
        <w:t>,</w:t>
      </w:r>
      <w:r w:rsidRPr="00F34CA3">
        <w:t xml:space="preserve"> 202</w:t>
      </w:r>
      <w:r w:rsidR="004F2471">
        <w:t>2</w:t>
      </w:r>
    </w:p>
    <w:p w14:paraId="4863AF75" w14:textId="33DD9CBA" w:rsidR="00136368" w:rsidRPr="00F34CA3" w:rsidRDefault="00D57949" w:rsidP="00136368">
      <w:pPr>
        <w:jc w:val="center"/>
      </w:pPr>
      <w:r>
        <w:rPr>
          <w:noProof/>
        </w:rPr>
        <w:drawing>
          <wp:inline distT="0" distB="0" distL="0" distR="0" wp14:anchorId="57D2663B" wp14:editId="748A64DB">
            <wp:extent cx="5943600" cy="3824605"/>
            <wp:effectExtent l="0" t="0" r="0" b="4445"/>
            <wp:docPr id="1374870519" name="Picture 1" descr="A map of the state of monta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70519" name="Picture 1" descr="A map of the state of montana&#10;&#10;Description automatically generated with low confidence"/>
                    <pic:cNvPicPr/>
                  </pic:nvPicPr>
                  <pic:blipFill>
                    <a:blip r:embed="rId19"/>
                    <a:stretch>
                      <a:fillRect/>
                    </a:stretch>
                  </pic:blipFill>
                  <pic:spPr>
                    <a:xfrm>
                      <a:off x="0" y="0"/>
                      <a:ext cx="5943600" cy="3824605"/>
                    </a:xfrm>
                    <a:prstGeom prst="rect">
                      <a:avLst/>
                    </a:prstGeom>
                  </pic:spPr>
                </pic:pic>
              </a:graphicData>
            </a:graphic>
          </wp:inline>
        </w:drawing>
      </w:r>
      <w:r w:rsidR="00136368" w:rsidRPr="00FB5ECE">
        <w:rPr>
          <w:noProof/>
        </w:rPr>
        <mc:AlternateContent>
          <mc:Choice Requires="wps">
            <w:drawing>
              <wp:anchor distT="0" distB="0" distL="114300" distR="114300" simplePos="0" relativeHeight="251664384" behindDoc="0" locked="0" layoutInCell="1" allowOverlap="1" wp14:anchorId="7671EAC9" wp14:editId="013CB9EB">
                <wp:simplePos x="0" y="0"/>
                <wp:positionH relativeFrom="margin">
                  <wp:align>left</wp:align>
                </wp:positionH>
                <wp:positionV relativeFrom="paragraph">
                  <wp:posOffset>3461283</wp:posOffset>
                </wp:positionV>
                <wp:extent cx="4612943" cy="358444"/>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4612943" cy="358444"/>
                        </a:xfrm>
                        <a:prstGeom prst="rect">
                          <a:avLst/>
                        </a:prstGeom>
                        <a:noFill/>
                        <a:ln w="6350">
                          <a:noFill/>
                        </a:ln>
                      </wps:spPr>
                      <wps:txbx>
                        <w:txbxContent>
                          <w:p w14:paraId="422F80EB" w14:textId="77777777" w:rsidR="00072947" w:rsidRPr="000E5402" w:rsidRDefault="00072947" w:rsidP="00136368">
                            <w:pPr>
                              <w:rPr>
                                <w:i/>
                                <w:iCs/>
                                <w:sz w:val="16"/>
                                <w:szCs w:val="18"/>
                              </w:rPr>
                            </w:pPr>
                            <w:r w:rsidRPr="000E5402">
                              <w:rPr>
                                <w:i/>
                                <w:iCs/>
                                <w:sz w:val="16"/>
                                <w:szCs w:val="18"/>
                              </w:rPr>
                              <w:t>Note: Total percentages may not add up to 100% due to standard rounding conventions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71EAC9" id="_x0000_t202" coordsize="21600,21600" o:spt="202" path="m,l,21600r21600,l21600,xe">
                <v:stroke joinstyle="miter"/>
                <v:path gradientshapeok="t" o:connecttype="rect"/>
              </v:shapetype>
              <v:shape id="Text Box 3" o:spid="_x0000_s1026" type="#_x0000_t202" style="position:absolute;left:0;text-align:left;margin-left:0;margin-top:272.55pt;width:363.2pt;height:28.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" filled="f" stroked="f" strokeweight=".5pt">
                <v:textbox>
                  <w:txbxContent>
                    <w:p w14:paraId="422F80EB" w14:textId="77777777" w:rsidR="00072947" w:rsidRPr="000E5402" w:rsidRDefault="00072947" w:rsidP="00136368">
                      <w:pPr>
                        <w:rPr>
                          <w:i/>
                          <w:iCs/>
                          <w:sz w:val="16"/>
                          <w:szCs w:val="18"/>
                        </w:rPr>
                      </w:pPr>
                      <w:r w:rsidRPr="000E5402">
                        <w:rPr>
                          <w:i/>
                          <w:iCs/>
                          <w:sz w:val="16"/>
                          <w:szCs w:val="18"/>
                        </w:rPr>
                        <w:t>Note: Total percentages may not add up to 100% due to standard rounding conventions</w:t>
                      </w:r>
                    </w:p>
                  </w:txbxContent>
                </v:textbox>
                <w10:wrap anchorx="margin"/>
              </v:shape>
            </w:pict>
          </mc:Fallback>
        </mc:AlternateContent>
      </w:r>
    </w:p>
    <w:p w14:paraId="334EF0A0" w14:textId="374D0A83" w:rsidR="00136368" w:rsidRPr="00F34CA3" w:rsidRDefault="00136368" w:rsidP="00136368">
      <w:pPr>
        <w:pStyle w:val="Source"/>
      </w:pPr>
      <w:bookmarkStart w:id="4" w:name="_Hlk106260927"/>
      <w:r w:rsidRPr="00F34CA3">
        <w:t xml:space="preserve">Source: </w:t>
      </w:r>
      <w:r w:rsidR="00A0726A">
        <w:t>2023 d</w:t>
      </w:r>
      <w:r w:rsidRPr="00F34CA3">
        <w:t xml:space="preserve">istributor sales data analysis, 2019 CBSA floor space by state, and </w:t>
      </w:r>
      <w:r w:rsidR="00A0726A">
        <w:t xml:space="preserve">2023 </w:t>
      </w:r>
      <w:r w:rsidRPr="00F34CA3">
        <w:t>BPA distributor database</w:t>
      </w:r>
      <w:bookmarkEnd w:id="4"/>
    </w:p>
    <w:p w14:paraId="0A76D4DD" w14:textId="00AE6F39" w:rsidR="00136368" w:rsidRDefault="00136368" w:rsidP="00136368">
      <w:pPr>
        <w:pStyle w:val="Heading3"/>
      </w:pPr>
      <w:r>
        <w:t>Representativeness Analysis</w:t>
      </w:r>
    </w:p>
    <w:p w14:paraId="65893756" w14:textId="18CAF235" w:rsidR="00136368" w:rsidRPr="00F34CA3" w:rsidRDefault="00136368" w:rsidP="00136368">
      <w:pPr>
        <w:pStyle w:val="BodyText"/>
      </w:pPr>
      <w:r>
        <w:t>The research team</w:t>
      </w:r>
      <w:r w:rsidRPr="00F34CA3">
        <w:t xml:space="preserve"> found some variations in the distribution of characteristics in the sample compared to the region’s population. </w:t>
      </w:r>
      <w:r w:rsidR="002A6B86">
        <w:t>T</w:t>
      </w:r>
      <w:r w:rsidRPr="00F34CA3">
        <w:t xml:space="preserve">hese variations are within an acceptable range and therefore </w:t>
      </w:r>
      <w:r w:rsidR="002A6B86">
        <w:t xml:space="preserve">the research team </w:t>
      </w:r>
      <w:r w:rsidRPr="00F34CA3">
        <w:t>did not make any weighted adjustments to the data. With the goal of continually narrowing the gap between the data</w:t>
      </w:r>
      <w:r w:rsidR="0021306D">
        <w:t xml:space="preserve"> </w:t>
      </w:r>
      <w:r>
        <w:t>set</w:t>
      </w:r>
      <w:r w:rsidRPr="00F34CA3">
        <w:t xml:space="preserve"> and the actual regional population, this section outlines possible data collection and analysis improvements within the following topics: distributor characteristic mix, geographic coverage, participation, and specific segments.</w:t>
      </w:r>
    </w:p>
    <w:p w14:paraId="5A1E58FD" w14:textId="275DD6C0" w:rsidR="00136368" w:rsidRDefault="00136368" w:rsidP="00136368">
      <w:pPr>
        <w:pStyle w:val="Heading4"/>
      </w:pPr>
      <w:r>
        <w:t>Distributor Characteristic Mix</w:t>
      </w:r>
    </w:p>
    <w:p w14:paraId="41E425B9" w14:textId="71BE19E6" w:rsidR="00C50E5D" w:rsidRDefault="00136368" w:rsidP="00C50E5D">
      <w:pPr>
        <w:pStyle w:val="BodyText"/>
        <w:tabs>
          <w:tab w:val="left" w:pos="4320"/>
        </w:tabs>
      </w:pPr>
      <w:r w:rsidRPr="00F34CA3">
        <w:fldChar w:fldCharType="begin"/>
      </w:r>
      <w:r w:rsidRPr="00F34CA3">
        <w:instrText xml:space="preserve"> REF _Ref103609465 \h </w:instrText>
      </w:r>
      <w:r>
        <w:instrText xml:space="preserve"> \* MERGEFORMAT </w:instrText>
      </w:r>
      <w:r w:rsidRPr="00F34CA3">
        <w:fldChar w:fldCharType="separate"/>
      </w:r>
      <w:r w:rsidR="00A0726A">
        <w:rPr>
          <w:b/>
          <w:bCs/>
        </w:rPr>
        <w:fldChar w:fldCharType="begin"/>
      </w:r>
      <w:r w:rsidR="00A0726A">
        <w:instrText xml:space="preserve"> REF _Ref137107639 \h </w:instrText>
      </w:r>
      <w:r w:rsidR="00A0726A">
        <w:rPr>
          <w:b/>
          <w:bCs/>
        </w:rPr>
      </w:r>
      <w:r w:rsidR="00A0726A">
        <w:rPr>
          <w:b/>
          <w:bCs/>
        </w:rPr>
        <w:fldChar w:fldCharType="separate"/>
      </w:r>
      <w:r w:rsidR="00A0726A">
        <w:t xml:space="preserve">Figure </w:t>
      </w:r>
      <w:r w:rsidR="00A0726A">
        <w:rPr>
          <w:noProof/>
        </w:rPr>
        <w:t>1</w:t>
      </w:r>
      <w:r w:rsidR="00A0726A">
        <w:rPr>
          <w:b/>
          <w:bCs/>
        </w:rPr>
        <w:fldChar w:fldCharType="end"/>
      </w:r>
      <w:r w:rsidRPr="00F34CA3">
        <w:fldChar w:fldCharType="end"/>
      </w:r>
      <w:r w:rsidRPr="00F34CA3">
        <w:t xml:space="preserve"> shows the mix of participating distributors </w:t>
      </w:r>
      <w:r w:rsidR="00384704">
        <w:t xml:space="preserve">in 2023 </w:t>
      </w:r>
      <w:r w:rsidRPr="00F34CA3">
        <w:t xml:space="preserve">by relative size, distribution area, and business model compared to </w:t>
      </w:r>
      <w:r w:rsidR="000160F4">
        <w:t xml:space="preserve">the extrapolated distributor mix and the </w:t>
      </w:r>
      <w:r w:rsidRPr="00F34CA3">
        <w:t xml:space="preserve">distributor population mix in the Pacific Northwest. </w:t>
      </w:r>
      <w:r>
        <w:t>The research team</w:t>
      </w:r>
      <w:r w:rsidRPr="00F34CA3">
        <w:t xml:space="preserve"> uses these comparisons to evaluat</w:t>
      </w:r>
      <w:r w:rsidR="00C50E5D">
        <w:t>e w</w:t>
      </w:r>
      <w:r w:rsidRPr="00F34CA3">
        <w:t>hether the participating distributor pool is reasonably representative of the total population of distributors in the region</w:t>
      </w:r>
      <w:r w:rsidR="000160F4">
        <w:t xml:space="preserve">, both </w:t>
      </w:r>
      <w:r w:rsidR="008D4275">
        <w:t>for</w:t>
      </w:r>
      <w:r w:rsidR="000160F4">
        <w:t xml:space="preserve"> 2022</w:t>
      </w:r>
      <w:r w:rsidR="008D4275">
        <w:t xml:space="preserve"> data</w:t>
      </w:r>
      <w:r w:rsidR="000160F4">
        <w:t xml:space="preserve"> (participant sample) and across all study years (extrapolated sample)</w:t>
      </w:r>
      <w:r w:rsidR="00C50E5D">
        <w:t>. Comparing the distributor mix from the extrapolated sample to the population confirms that over time, the collected and extrapolated data</w:t>
      </w:r>
      <w:r w:rsidR="0021306D">
        <w:t xml:space="preserve"> </w:t>
      </w:r>
      <w:r w:rsidR="00C50E5D">
        <w:t>set is representative of the distributor population.</w:t>
      </w:r>
    </w:p>
    <w:p w14:paraId="3551BDF6" w14:textId="2E2678F7" w:rsidR="00136368" w:rsidRPr="00C50E5D" w:rsidRDefault="00C50E5D" w:rsidP="00C50E5D">
      <w:pPr>
        <w:pStyle w:val="BodyText"/>
        <w:tabs>
          <w:tab w:val="left" w:pos="4320"/>
        </w:tabs>
      </w:pPr>
      <w:r>
        <w:lastRenderedPageBreak/>
        <w:t xml:space="preserve">Variation in representativeness between the participant sample and the population highlight opportunities for the outreach team to refine outreach strategies for certain distributor types. </w:t>
      </w:r>
      <w:r w:rsidR="00136368" w:rsidRPr="00C50E5D">
        <w:t>The research team found that the collected data</w:t>
      </w:r>
      <w:r w:rsidR="000160F4" w:rsidRPr="00C50E5D">
        <w:t xml:space="preserve"> from participants in 2023</w:t>
      </w:r>
      <w:r w:rsidR="00136368" w:rsidRPr="00C50E5D">
        <w:t xml:space="preserve"> include a mix of sizes, geographic scopes, and business models that are reasonably proportional to the population with the following variations:</w:t>
      </w:r>
    </w:p>
    <w:p w14:paraId="1BF1447C" w14:textId="4AA588B7" w:rsidR="00136368" w:rsidRPr="00C50E5D" w:rsidRDefault="00136368" w:rsidP="00C50E5D">
      <w:pPr>
        <w:pStyle w:val="ListBullet"/>
      </w:pPr>
      <w:r w:rsidRPr="00C50E5D">
        <w:t>A higher portion of small distributors and a smaller portion of medium and large distributors submitting sales data, relative to the population</w:t>
      </w:r>
      <w:r w:rsidR="00C50E5D" w:rsidRPr="00C50E5D">
        <w:t>.</w:t>
      </w:r>
    </w:p>
    <w:p w14:paraId="11DD12C8" w14:textId="44E8A044" w:rsidR="00136368" w:rsidRPr="00C50E5D" w:rsidRDefault="00136368" w:rsidP="00C50E5D">
      <w:pPr>
        <w:pStyle w:val="ListBullet"/>
      </w:pPr>
      <w:r w:rsidRPr="00C50E5D">
        <w:t xml:space="preserve">A larger portion of local </w:t>
      </w:r>
      <w:r w:rsidR="006075E4" w:rsidRPr="00C50E5D">
        <w:t xml:space="preserve">and regional </w:t>
      </w:r>
      <w:r w:rsidRPr="00C50E5D">
        <w:t>distributors and a smaller portion of national distributors submitting sales data, relative to the population</w:t>
      </w:r>
      <w:r w:rsidR="00C50E5D" w:rsidRPr="00C50E5D">
        <w:t>.</w:t>
      </w:r>
    </w:p>
    <w:p w14:paraId="4662BAED" w14:textId="04FB159A" w:rsidR="00C50E5D" w:rsidRDefault="00136368" w:rsidP="00C50E5D">
      <w:pPr>
        <w:pStyle w:val="ListBullet"/>
      </w:pPr>
      <w:r w:rsidRPr="00C50E5D">
        <w:t>A smaller portion of full-line distributors and a larger portion of lighting consulting distributors submitting sales data, relative to the population</w:t>
      </w:r>
      <w:r w:rsidR="00C50E5D" w:rsidRPr="00C50E5D">
        <w:rPr>
          <w:rStyle w:val="CommentReference"/>
          <w:sz w:val="22"/>
          <w:szCs w:val="22"/>
        </w:rPr>
        <w:t>.</w:t>
      </w:r>
    </w:p>
    <w:p w14:paraId="7870999C" w14:textId="3B1F94B4" w:rsidR="00136368" w:rsidRPr="00C50E5D" w:rsidRDefault="00136368" w:rsidP="00C50E5D">
      <w:pPr>
        <w:pStyle w:val="BodyText"/>
      </w:pPr>
      <w:r w:rsidRPr="00C50E5D">
        <w:t xml:space="preserve">As shown in </w:t>
      </w:r>
      <w:r w:rsidRPr="00C50E5D">
        <w:fldChar w:fldCharType="begin"/>
      </w:r>
      <w:r w:rsidRPr="00C50E5D">
        <w:instrText xml:space="preserve"> REF _Ref103609465 \h  \* MERGEFORMAT </w:instrText>
      </w:r>
      <w:r w:rsidRPr="00C50E5D">
        <w:fldChar w:fldCharType="separate"/>
      </w:r>
      <w:r w:rsidR="00A0726A">
        <w:rPr>
          <w:b/>
          <w:bCs/>
        </w:rPr>
        <w:fldChar w:fldCharType="begin"/>
      </w:r>
      <w:r w:rsidR="00A0726A">
        <w:instrText xml:space="preserve"> REF _Ref137107639 \h </w:instrText>
      </w:r>
      <w:r w:rsidR="00A0726A">
        <w:rPr>
          <w:b/>
          <w:bCs/>
        </w:rPr>
      </w:r>
      <w:r w:rsidR="00A0726A">
        <w:rPr>
          <w:b/>
          <w:bCs/>
        </w:rPr>
        <w:fldChar w:fldCharType="separate"/>
      </w:r>
      <w:r w:rsidR="00A0726A">
        <w:t xml:space="preserve">Figure </w:t>
      </w:r>
      <w:r w:rsidR="00A0726A">
        <w:rPr>
          <w:noProof/>
        </w:rPr>
        <w:t>1</w:t>
      </w:r>
      <w:r w:rsidR="00A0726A">
        <w:rPr>
          <w:b/>
          <w:bCs/>
        </w:rPr>
        <w:fldChar w:fldCharType="end"/>
      </w:r>
      <w:r w:rsidRPr="00C50E5D">
        <w:fldChar w:fldCharType="end"/>
      </w:r>
      <w:r w:rsidRPr="00C50E5D">
        <w:t>, the mix of business models in the population differed from the mix of business models that submitted data. In 2016, the research team reviewed the sales data in these categories and found that some sales trends (e.g., the portion of sales that are LED and the portion of sales that are lamps versus fixtures) may correlate with the business model types. However, the research team and BPA determined that weighting data submissions to reflect the relative presence of these three business models in the market may not improve the accuracy of the sales data because there is too much uncertainty around nonparticipating distributors’ sales trends and business models. The research team did not find sufficient new data during 202</w:t>
      </w:r>
      <w:r w:rsidR="00384704" w:rsidRPr="00C50E5D">
        <w:t>3</w:t>
      </w:r>
      <w:r w:rsidRPr="00C50E5D">
        <w:t xml:space="preserve"> data collection to change this conclusion.</w:t>
      </w:r>
    </w:p>
    <w:p w14:paraId="12C1E671" w14:textId="77777777" w:rsidR="00136368" w:rsidRPr="00F34CA3" w:rsidRDefault="00136368" w:rsidP="00136368">
      <w:pPr>
        <w:pStyle w:val="BodyText"/>
      </w:pPr>
      <w:r w:rsidRPr="00F34CA3">
        <w:t xml:space="preserve">Many of the new distributors participating since 2019 have been lighting consultants </w:t>
      </w:r>
      <w:r>
        <w:t>selling only</w:t>
      </w:r>
      <w:r w:rsidRPr="00F34CA3">
        <w:t xml:space="preserve"> LEDs, which increased the representation of this business model type. This trend could either indicate that lighting consulting businesses are becoming more common in the region or that the participating distributor pool overrepresents this business model. If this business model is overrepresented, this could lead to a bias toward efficient technologies in the data. The research team will monitor this trend in future studies </w:t>
      </w:r>
      <w:r>
        <w:t>to determine whether</w:t>
      </w:r>
      <w:r w:rsidRPr="00F34CA3">
        <w:t xml:space="preserve"> any adjustments to representativeness are needed.</w:t>
      </w:r>
      <w:r w:rsidRPr="00F34CA3">
        <w:rPr>
          <w:rStyle w:val="FootnoteReference"/>
        </w:rPr>
        <w:footnoteReference w:id="2"/>
      </w:r>
      <w:r w:rsidRPr="00F34CA3">
        <w:t xml:space="preserve"> The </w:t>
      </w:r>
      <w:r>
        <w:t xml:space="preserve">research </w:t>
      </w:r>
      <w:r w:rsidRPr="00F34CA3">
        <w:t xml:space="preserve">team will also consider changes to the outreach strategy to bring the sampled </w:t>
      </w:r>
      <w:r>
        <w:t>f</w:t>
      </w:r>
      <w:r w:rsidRPr="00F34CA3">
        <w:t>ull</w:t>
      </w:r>
      <w:r>
        <w:t>-line</w:t>
      </w:r>
      <w:r w:rsidRPr="00F34CA3">
        <w:t xml:space="preserve"> distributor portion more in-line with the population portion.</w:t>
      </w:r>
    </w:p>
    <w:p w14:paraId="60465C31" w14:textId="50758C5F" w:rsidR="00136368" w:rsidRDefault="00136368" w:rsidP="00136368">
      <w:pPr>
        <w:pStyle w:val="Heading4"/>
      </w:pPr>
      <w:r>
        <w:t>Geographic Coverage</w:t>
      </w:r>
    </w:p>
    <w:p w14:paraId="0C0307FA" w14:textId="58867DDE" w:rsidR="00136368" w:rsidRPr="00F34CA3" w:rsidRDefault="00136368" w:rsidP="00136368">
      <w:pPr>
        <w:pStyle w:val="BodyText"/>
      </w:pPr>
      <w:r w:rsidRPr="00F34CA3">
        <w:t xml:space="preserve">As seen in </w:t>
      </w:r>
      <w:r w:rsidRPr="00F34CA3">
        <w:fldChar w:fldCharType="begin"/>
      </w:r>
      <w:r w:rsidRPr="00F34CA3">
        <w:instrText xml:space="preserve"> REF _Ref457169706 \h </w:instrText>
      </w:r>
      <w:r>
        <w:instrText xml:space="preserve"> \* MERGEFORMAT </w:instrText>
      </w:r>
      <w:r w:rsidRPr="00F34CA3">
        <w:fldChar w:fldCharType="separate"/>
      </w:r>
      <w:r w:rsidR="00C02B88" w:rsidRPr="00F34CA3">
        <w:t xml:space="preserve">Figure </w:t>
      </w:r>
      <w:r w:rsidR="00C02B88">
        <w:t>2</w:t>
      </w:r>
      <w:r w:rsidRPr="00F34CA3">
        <w:fldChar w:fldCharType="end"/>
      </w:r>
      <w:r w:rsidRPr="00F34CA3">
        <w:t>, lamp sales collected from 202</w:t>
      </w:r>
      <w:r w:rsidR="00384704">
        <w:t>2</w:t>
      </w:r>
      <w:r w:rsidRPr="00F34CA3">
        <w:t xml:space="preserve"> are approximately proportional to each state’s share of regional commercial floor space and distributor branches. The </w:t>
      </w:r>
      <w:r>
        <w:t xml:space="preserve">research </w:t>
      </w:r>
      <w:r w:rsidRPr="00F34CA3">
        <w:t>team use</w:t>
      </w:r>
      <w:r>
        <w:t>d</w:t>
      </w:r>
      <w:r w:rsidRPr="00F34CA3">
        <w:t xml:space="preserve"> floor space and branches as comparisons because these two metrics should </w:t>
      </w:r>
      <w:r>
        <w:t>nearly</w:t>
      </w:r>
      <w:r w:rsidRPr="00F34CA3">
        <w:t xml:space="preserve"> correlate with sales.</w:t>
      </w:r>
    </w:p>
    <w:p w14:paraId="6B55B66B" w14:textId="0642D1CA" w:rsidR="00136368" w:rsidRPr="00F34CA3" w:rsidRDefault="002A6B86" w:rsidP="00136368">
      <w:pPr>
        <w:pStyle w:val="BodyText"/>
        <w:rPr>
          <w:b/>
          <w:iCs/>
        </w:rPr>
      </w:pPr>
      <w:r>
        <w:lastRenderedPageBreak/>
        <w:fldChar w:fldCharType="begin"/>
      </w:r>
      <w:r>
        <w:instrText xml:space="preserve"> REF _Ref457169706 \h </w:instrText>
      </w:r>
      <w:r>
        <w:fldChar w:fldCharType="separate"/>
      </w:r>
      <w:r w:rsidR="00C02B88" w:rsidRPr="00F34CA3">
        <w:t xml:space="preserve">Figure </w:t>
      </w:r>
      <w:r w:rsidR="00C02B88">
        <w:rPr>
          <w:noProof/>
        </w:rPr>
        <w:t>2</w:t>
      </w:r>
      <w:r>
        <w:fldChar w:fldCharType="end"/>
      </w:r>
      <w:r w:rsidR="00136368" w:rsidRPr="00F34CA3">
        <w:t xml:space="preserve"> illustrates that the proportionality of sales versus floor space and branches is a close but imperfect match. </w:t>
      </w:r>
      <w:r w:rsidR="00136368" w:rsidRPr="00A03216">
        <w:t xml:space="preserve">With the updates to the distributor database, the research team identified an increase in branch locations in Idaho, mirrored by an increase in sales data collected from Idaho branches, beginning in 2018 and continuing through 2021. The result is a higher percentage of reported sales and branch locations in Idaho, proportionally, than commercial floorspace in Idaho. </w:t>
      </w:r>
      <w:r w:rsidR="00136368" w:rsidRPr="00F34CA3">
        <w:t xml:space="preserve">Despite this slight divergence, other states’ metrics are approximately proportional, confirming that </w:t>
      </w:r>
      <w:r w:rsidR="00136368">
        <w:t>the research team has</w:t>
      </w:r>
      <w:r w:rsidR="00136368" w:rsidRPr="00F34CA3">
        <w:t xml:space="preserve"> reasonable representation of distributors and their data. </w:t>
      </w:r>
    </w:p>
    <w:p w14:paraId="48089BE0" w14:textId="77777777" w:rsidR="00136368" w:rsidRPr="00136368" w:rsidRDefault="00136368" w:rsidP="00136368">
      <w:pPr>
        <w:pStyle w:val="Heading4"/>
        <w:rPr>
          <w:rStyle w:val="CommentReference"/>
          <w:sz w:val="32"/>
          <w:szCs w:val="22"/>
        </w:rPr>
      </w:pPr>
      <w:r w:rsidRPr="00136368">
        <w:rPr>
          <w:rStyle w:val="CommentReference"/>
          <w:sz w:val="32"/>
          <w:szCs w:val="22"/>
        </w:rPr>
        <w:t>Participation</w:t>
      </w:r>
    </w:p>
    <w:p w14:paraId="0D50BA71" w14:textId="13C5B5E6" w:rsidR="00136368" w:rsidRPr="00F34CA3" w:rsidRDefault="00136368" w:rsidP="00136368">
      <w:pPr>
        <w:pStyle w:val="BodyText"/>
      </w:pPr>
      <w:r w:rsidRPr="00F34CA3">
        <w:t>Participation in 202</w:t>
      </w:r>
      <w:r w:rsidR="00384704">
        <w:t>3</w:t>
      </w:r>
      <w:r w:rsidRPr="00F34CA3">
        <w:t xml:space="preserve"> (24 distributors) was </w:t>
      </w:r>
      <w:r w:rsidR="00384704">
        <w:t xml:space="preserve">the same as </w:t>
      </w:r>
      <w:r w:rsidRPr="00F34CA3">
        <w:t>participation in 2021. In 202</w:t>
      </w:r>
      <w:r w:rsidR="00384704">
        <w:t>3</w:t>
      </w:r>
      <w:r w:rsidRPr="00F34CA3">
        <w:t xml:space="preserve">, </w:t>
      </w:r>
      <w:r w:rsidR="00F660C3">
        <w:t xml:space="preserve">one </w:t>
      </w:r>
      <w:r w:rsidRPr="00F34CA3">
        <w:t>participa</w:t>
      </w:r>
      <w:r w:rsidR="00F660C3">
        <w:t>nt</w:t>
      </w:r>
      <w:r w:rsidRPr="00F34CA3">
        <w:t xml:space="preserve"> from the 202</w:t>
      </w:r>
      <w:r w:rsidR="00384704">
        <w:t>2</w:t>
      </w:r>
      <w:r w:rsidRPr="00F34CA3">
        <w:t xml:space="preserve"> data collection effort did not participate </w:t>
      </w:r>
      <w:r>
        <w:t>because of</w:t>
      </w:r>
      <w:r w:rsidRPr="00F34CA3">
        <w:t xml:space="preserve"> time constraint</w:t>
      </w:r>
      <w:r w:rsidR="00F660C3">
        <w:t>s</w:t>
      </w:r>
      <w:r w:rsidRPr="00F34CA3">
        <w:t xml:space="preserve">. </w:t>
      </w:r>
      <w:r>
        <w:t>N</w:t>
      </w:r>
      <w:r w:rsidRPr="00F34CA3">
        <w:t xml:space="preserve">onparticipating distributors’ sales </w:t>
      </w:r>
      <w:r>
        <w:t>may be</w:t>
      </w:r>
      <w:r w:rsidRPr="00F34CA3">
        <w:t xml:space="preserve"> different from participating distributors’ sales. This would create nonresponse bias of an unknown direction and magnitude. However, the </w:t>
      </w:r>
      <w:r>
        <w:t xml:space="preserve">research </w:t>
      </w:r>
      <w:r w:rsidRPr="00F34CA3">
        <w:t>team attempt</w:t>
      </w:r>
      <w:r>
        <w:t>ed</w:t>
      </w:r>
      <w:r w:rsidRPr="00F34CA3">
        <w:t xml:space="preserve"> to minimize this bias by performing repeated outreach. The </w:t>
      </w:r>
      <w:r>
        <w:t xml:space="preserve">research </w:t>
      </w:r>
      <w:r w:rsidRPr="00F34CA3">
        <w:t xml:space="preserve">team attempts to connect with distributors at least three times before ceasing outreach and </w:t>
      </w:r>
      <w:r>
        <w:t xml:space="preserve">uses </w:t>
      </w:r>
      <w:r w:rsidRPr="00F34CA3">
        <w:t>an incentive to encourage participation.</w:t>
      </w:r>
    </w:p>
    <w:p w14:paraId="6D0D4143" w14:textId="77777777" w:rsidR="00136368" w:rsidRPr="00F34CA3" w:rsidRDefault="00136368" w:rsidP="00136368">
      <w:pPr>
        <w:pStyle w:val="Heading5"/>
      </w:pPr>
      <w:r w:rsidRPr="00F34CA3">
        <w:t>Specific Segments</w:t>
      </w:r>
    </w:p>
    <w:p w14:paraId="308D9ABB" w14:textId="3756D840" w:rsidR="00136368" w:rsidRPr="00F34CA3" w:rsidRDefault="00136368" w:rsidP="00136368">
      <w:pPr>
        <w:pStyle w:val="BodyText"/>
      </w:pPr>
      <w:r>
        <w:t>The research team</w:t>
      </w:r>
      <w:r w:rsidRPr="00F34CA3">
        <w:t xml:space="preserve"> assumes </w:t>
      </w:r>
      <w:r w:rsidR="00272629">
        <w:t xml:space="preserve">submitted data from full line, </w:t>
      </w:r>
      <w:r w:rsidR="00C8537E">
        <w:t xml:space="preserve">maintenance, repair, and operations (MRO) </w:t>
      </w:r>
      <w:r w:rsidR="00272629">
        <w:t xml:space="preserve">and online, and lighting consultant participants is </w:t>
      </w:r>
      <w:r w:rsidRPr="00F34CA3">
        <w:t xml:space="preserve">representative of total sales within these distributor types in the market. To validate this assumption, </w:t>
      </w:r>
      <w:r>
        <w:t>the research team</w:t>
      </w:r>
      <w:r w:rsidRPr="00F34CA3">
        <w:t xml:space="preserve"> reviewed this year’s participating distributors’ sales mixes by business model to determine </w:t>
      </w:r>
      <w:r>
        <w:t>whether</w:t>
      </w:r>
      <w:r w:rsidRPr="00F34CA3">
        <w:t xml:space="preserve"> participating distributors within a business model type show similar sales patterns. </w:t>
      </w:r>
      <w:bookmarkStart w:id="5" w:name="_Hlk137108174"/>
      <w:r>
        <w:t xml:space="preserve">The research </w:t>
      </w:r>
      <w:r w:rsidRPr="00701817">
        <w:t xml:space="preserve">team </w:t>
      </w:r>
      <w:r w:rsidR="002F3CFF">
        <w:t xml:space="preserve">analyzed participating distributors’ sales mixes within </w:t>
      </w:r>
      <w:r w:rsidRPr="00701817">
        <w:t>each business model type</w:t>
      </w:r>
      <w:r w:rsidR="002F3CFF">
        <w:t xml:space="preserve"> and found that </w:t>
      </w:r>
      <w:r w:rsidRPr="00701817">
        <w:t>participating distributor’s sales mixes within each segment are generally similar.</w:t>
      </w:r>
      <w:r w:rsidRPr="00701817">
        <w:rPr>
          <w:rStyle w:val="FootnoteReference"/>
        </w:rPr>
        <w:footnoteReference w:id="3"/>
      </w:r>
      <w:r w:rsidRPr="00701817">
        <w:t xml:space="preserve"> </w:t>
      </w:r>
      <w:bookmarkEnd w:id="5"/>
      <w:r w:rsidRPr="00F34CA3">
        <w:t xml:space="preserve">This supports </w:t>
      </w:r>
      <w:r>
        <w:t xml:space="preserve">the </w:t>
      </w:r>
      <w:r w:rsidRPr="00F34CA3">
        <w:t xml:space="preserve">assumption that the submitted data are representative within each business model category. </w:t>
      </w:r>
    </w:p>
    <w:p w14:paraId="4375C748" w14:textId="6D49FF9F" w:rsidR="00136368" w:rsidRPr="00F34CA3" w:rsidRDefault="00136368" w:rsidP="00136368">
      <w:pPr>
        <w:pStyle w:val="BodyText"/>
      </w:pPr>
      <w:r>
        <w:t>The research team</w:t>
      </w:r>
      <w:r w:rsidRPr="00F34CA3">
        <w:t xml:space="preserve"> finds the representativeness of this year’s data</w:t>
      </w:r>
      <w:r w:rsidR="0021306D">
        <w:t xml:space="preserve"> </w:t>
      </w:r>
      <w:r w:rsidRPr="00F34CA3">
        <w:t xml:space="preserve">set acceptable and comparable </w:t>
      </w:r>
      <w:r w:rsidR="00B80A1C">
        <w:t>to</w:t>
      </w:r>
      <w:r w:rsidR="00B80A1C" w:rsidRPr="00F34CA3">
        <w:t xml:space="preserve"> </w:t>
      </w:r>
      <w:r w:rsidRPr="00F34CA3">
        <w:t xml:space="preserve">past years. </w:t>
      </w:r>
      <w:r>
        <w:t>The research team</w:t>
      </w:r>
      <w:r w:rsidRPr="00F34CA3">
        <w:t xml:space="preserve"> will continue to work to address representation gaps through the outreach recommendations covered in the next section. These recommendations will allow </w:t>
      </w:r>
      <w:r>
        <w:t>the research team</w:t>
      </w:r>
      <w:r w:rsidRPr="00F34CA3">
        <w:t xml:space="preserve"> to strategically target distributors in underrepresented or hard-to-reach segments using lessons learned over the previous study years. </w:t>
      </w:r>
    </w:p>
    <w:p w14:paraId="7AA59D2A" w14:textId="145CF392" w:rsidR="00136368" w:rsidRDefault="00136368" w:rsidP="00136368">
      <w:pPr>
        <w:pStyle w:val="Heading1"/>
      </w:pPr>
      <w:r>
        <w:lastRenderedPageBreak/>
        <w:t>Outreach and Data Collection</w:t>
      </w:r>
    </w:p>
    <w:p w14:paraId="3560AE72" w14:textId="7A88FDD3" w:rsidR="00BE3BFD" w:rsidRPr="00F34CA3" w:rsidRDefault="00BE3BFD" w:rsidP="00BE3BFD">
      <w:pPr>
        <w:pStyle w:val="BodyText"/>
      </w:pPr>
      <w:r w:rsidRPr="00F34CA3">
        <w:t xml:space="preserve">The research team, contracted by NEEA, worked in collaboration with Evergreen Consulting (Evergreen) to facilitate distributor outreach. The research team conducted outreach and recruited distributors to participate in the data collection effort. </w:t>
      </w:r>
    </w:p>
    <w:p w14:paraId="59110FBF" w14:textId="77777777" w:rsidR="00BE3BFD" w:rsidRPr="00F34CA3" w:rsidRDefault="00BE3BFD" w:rsidP="00BE3BFD">
      <w:pPr>
        <w:pStyle w:val="BodyText"/>
      </w:pPr>
      <w:r>
        <w:t>The research team</w:t>
      </w:r>
      <w:r w:rsidRPr="00F34CA3">
        <w:t>’s strategy followed these general steps:</w:t>
      </w:r>
    </w:p>
    <w:p w14:paraId="7E960566" w14:textId="51040A87" w:rsidR="00BE3BFD" w:rsidRPr="00F34CA3" w:rsidRDefault="00BE3BFD" w:rsidP="00BE3BFD">
      <w:pPr>
        <w:pStyle w:val="ListNumber"/>
      </w:pPr>
      <w:r w:rsidRPr="00F34CA3">
        <w:t>One of the outreach organizations</w:t>
      </w:r>
      <w:r w:rsidR="00B80A1C">
        <w:t xml:space="preserve"> </w:t>
      </w:r>
      <w:r w:rsidRPr="00F34CA3">
        <w:t xml:space="preserve">contacted distributors and asked them to participate, </w:t>
      </w:r>
      <w:r w:rsidR="00B80A1C">
        <w:t>providing</w:t>
      </w:r>
      <w:r w:rsidRPr="00F34CA3">
        <w:t xml:space="preserve"> a</w:t>
      </w:r>
      <w:r>
        <w:t>n</w:t>
      </w:r>
      <w:r w:rsidRPr="00F34CA3">
        <w:t xml:space="preserve"> information packet that BPA developed. </w:t>
      </w:r>
      <w:r>
        <w:t xml:space="preserve">The outreach organization offered </w:t>
      </w:r>
      <w:r w:rsidRPr="00F34CA3">
        <w:t>a monetary incentive</w:t>
      </w:r>
      <w:r>
        <w:t xml:space="preserve"> to participating distributors</w:t>
      </w:r>
      <w:r w:rsidRPr="00F34CA3">
        <w:t>.</w:t>
      </w:r>
    </w:p>
    <w:p w14:paraId="5C5A134A" w14:textId="12F7A5E8" w:rsidR="00BE3BFD" w:rsidRPr="00F34CA3" w:rsidRDefault="00BE3BFD" w:rsidP="00BE3BFD">
      <w:pPr>
        <w:pStyle w:val="ListNumber"/>
      </w:pPr>
      <w:r w:rsidRPr="00F34CA3">
        <w:t>If the distributor agreed to participate, the research team sent the distributor the sales data collection form, instructions for submitting data securely, and an optional non</w:t>
      </w:r>
      <w:r w:rsidR="008C3269">
        <w:t>disclosure</w:t>
      </w:r>
      <w:r w:rsidRPr="00F34CA3">
        <w:t xml:space="preserve"> agreement. </w:t>
      </w:r>
    </w:p>
    <w:p w14:paraId="06A2D3D4" w14:textId="77777777" w:rsidR="00BE3BFD" w:rsidRPr="00F34CA3" w:rsidRDefault="00BE3BFD" w:rsidP="00BE3BFD">
      <w:pPr>
        <w:pStyle w:val="ListNumber"/>
      </w:pPr>
      <w:r w:rsidRPr="00F34CA3">
        <w:t xml:space="preserve">The research team logged all communication in a distributor data tracker and provided outreach updates in a weekly outreach team meeting. </w:t>
      </w:r>
    </w:p>
    <w:p w14:paraId="2FA52C9B" w14:textId="02D9A75F" w:rsidR="00BE3BFD" w:rsidRPr="00F34CA3" w:rsidRDefault="00384704" w:rsidP="00BE3BFD">
      <w:pPr>
        <w:pStyle w:val="BodyText"/>
        <w:rPr>
          <w:bCs/>
        </w:rPr>
      </w:pPr>
      <w:r>
        <w:t xml:space="preserve">NEEA’s continued involvement in data collection and </w:t>
      </w:r>
      <w:r w:rsidR="00BE3BFD" w:rsidRPr="00F34CA3">
        <w:t>Evergreen</w:t>
      </w:r>
      <w:r>
        <w:t>’s</w:t>
      </w:r>
      <w:r w:rsidR="00BE3BFD" w:rsidRPr="00F34CA3">
        <w:t xml:space="preserve"> outreach to existing contacts w</w:t>
      </w:r>
      <w:r>
        <w:t>ere</w:t>
      </w:r>
      <w:r w:rsidR="00BE3BFD" w:rsidRPr="00F34CA3">
        <w:t xml:space="preserve"> essential to the outreach team’s success. </w:t>
      </w:r>
      <w:r w:rsidR="00BE3BFD" w:rsidRPr="00F34CA3">
        <w:rPr>
          <w:bCs/>
        </w:rPr>
        <w:t xml:space="preserve">In the last four years of the study, the research team reached out directly to select long-term participants who proved responsive in past studies. The research team aimed to organize outreach assignments to reduce the number of touchpoints for distributors and streamline the total number of outreach steps. NEEA, Evergreen, and </w:t>
      </w:r>
      <w:r w:rsidR="007A0D70">
        <w:rPr>
          <w:bCs/>
        </w:rPr>
        <w:t>the research team</w:t>
      </w:r>
      <w:r w:rsidR="007A0D70" w:rsidRPr="00F34CA3">
        <w:rPr>
          <w:bCs/>
        </w:rPr>
        <w:t xml:space="preserve"> </w:t>
      </w:r>
      <w:r w:rsidR="00BE3BFD" w:rsidRPr="00F34CA3">
        <w:rPr>
          <w:bCs/>
        </w:rPr>
        <w:t>discuss</w:t>
      </w:r>
      <w:r w:rsidR="00BE3BFD">
        <w:rPr>
          <w:bCs/>
        </w:rPr>
        <w:t>ed</w:t>
      </w:r>
      <w:r w:rsidR="00BE3BFD" w:rsidRPr="00F34CA3">
        <w:rPr>
          <w:bCs/>
        </w:rPr>
        <w:t xml:space="preserve"> and agree</w:t>
      </w:r>
      <w:r w:rsidR="00BE3BFD">
        <w:rPr>
          <w:bCs/>
        </w:rPr>
        <w:t>d</w:t>
      </w:r>
      <w:r w:rsidR="00BE3BFD" w:rsidRPr="00F34CA3">
        <w:rPr>
          <w:bCs/>
        </w:rPr>
        <w:t xml:space="preserve"> on all outreach assignments at the beginning of each study.</w:t>
      </w:r>
    </w:p>
    <w:p w14:paraId="41AD2AF1" w14:textId="37D9FD95" w:rsidR="00136368" w:rsidRDefault="00BE3BFD" w:rsidP="00BE3BFD">
      <w:pPr>
        <w:pStyle w:val="Heading2"/>
      </w:pPr>
      <w:r>
        <w:t>Final Outreach Disposition and Results</w:t>
      </w:r>
    </w:p>
    <w:p w14:paraId="1AE19332" w14:textId="77217CEF" w:rsidR="00487ECB" w:rsidRDefault="00BE3BFD" w:rsidP="00BE3BFD">
      <w:pPr>
        <w:pStyle w:val="BodyText"/>
      </w:pPr>
      <w:r w:rsidRPr="00F34CA3">
        <w:fldChar w:fldCharType="begin"/>
      </w:r>
      <w:r w:rsidRPr="00F34CA3">
        <w:instrText xml:space="preserve"> REF _Ref105574258 \h </w:instrText>
      </w:r>
      <w:r>
        <w:instrText xml:space="preserve"> \* MERGEFORMAT </w:instrText>
      </w:r>
      <w:r w:rsidRPr="00F34CA3">
        <w:fldChar w:fldCharType="separate"/>
      </w:r>
      <w:r w:rsidR="00C02B88" w:rsidRPr="00F34CA3">
        <w:t xml:space="preserve">Table </w:t>
      </w:r>
      <w:r w:rsidR="00C02B88">
        <w:t>1</w:t>
      </w:r>
      <w:r w:rsidRPr="00F34CA3">
        <w:fldChar w:fldCharType="end"/>
      </w:r>
      <w:r w:rsidRPr="00F34CA3">
        <w:t xml:space="preserve"> provides details on the final disposition for the distributors included in </w:t>
      </w:r>
      <w:r>
        <w:t>the research team</w:t>
      </w:r>
      <w:r w:rsidRPr="00F34CA3">
        <w:t>’s outreach.</w:t>
      </w:r>
      <w:r w:rsidR="00487ECB">
        <w:br w:type="page"/>
      </w:r>
    </w:p>
    <w:p w14:paraId="358BF640" w14:textId="687BB003" w:rsidR="00BE3BFD" w:rsidRPr="00F34CA3" w:rsidRDefault="00BE3BFD" w:rsidP="00BE3BFD">
      <w:pPr>
        <w:pStyle w:val="Caption"/>
      </w:pPr>
      <w:bookmarkStart w:id="7" w:name="_Ref105574258"/>
      <w:r w:rsidRPr="00F34CA3">
        <w:lastRenderedPageBreak/>
        <w:t xml:space="preserve">Table </w:t>
      </w:r>
      <w:r w:rsidRPr="00586724">
        <w:fldChar w:fldCharType="begin"/>
      </w:r>
      <w:r w:rsidRPr="00F34CA3">
        <w:instrText xml:space="preserve"> SEQ Table \* ARABIC </w:instrText>
      </w:r>
      <w:r w:rsidRPr="00586724">
        <w:fldChar w:fldCharType="separate"/>
      </w:r>
      <w:r w:rsidR="00C02B88">
        <w:rPr>
          <w:noProof/>
        </w:rPr>
        <w:t>1</w:t>
      </w:r>
      <w:r w:rsidRPr="00586724">
        <w:fldChar w:fldCharType="end"/>
      </w:r>
      <w:bookmarkEnd w:id="7"/>
      <w:r w:rsidRPr="00F34CA3">
        <w:t>: Summary of Distributor Outreach, Final Disposition</w:t>
      </w:r>
    </w:p>
    <w:tbl>
      <w:tblPr>
        <w:tblStyle w:val="BPATable-classic"/>
        <w:tblW w:w="5000" w:type="pct"/>
        <w:tblLook w:val="04A0" w:firstRow="1" w:lastRow="0" w:firstColumn="1" w:lastColumn="0" w:noHBand="0" w:noVBand="1"/>
      </w:tblPr>
      <w:tblGrid>
        <w:gridCol w:w="6204"/>
        <w:gridCol w:w="3156"/>
      </w:tblGrid>
      <w:tr w:rsidR="00BE3BFD" w:rsidRPr="00F34CA3" w14:paraId="6656EA48" w14:textId="77777777" w:rsidTr="00BE3BFD">
        <w:trPr>
          <w:cnfStyle w:val="100000000000" w:firstRow="1" w:lastRow="0" w:firstColumn="0" w:lastColumn="0" w:oddVBand="0" w:evenVBand="0" w:oddHBand="0"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314" w:type="pct"/>
            <w:hideMark/>
          </w:tcPr>
          <w:p w14:paraId="5572C1D3" w14:textId="77777777" w:rsidR="00BE3BFD" w:rsidRPr="00F34CA3" w:rsidRDefault="00BE3BFD" w:rsidP="00E91E47">
            <w:pPr>
              <w:keepNext/>
              <w:spacing w:after="40"/>
              <w:rPr>
                <w:szCs w:val="20"/>
              </w:rPr>
            </w:pPr>
            <w:r w:rsidRPr="00F34CA3">
              <w:rPr>
                <w:szCs w:val="20"/>
              </w:rPr>
              <w:t>Category</w:t>
            </w:r>
          </w:p>
        </w:tc>
        <w:tc>
          <w:tcPr>
            <w:tcW w:w="1686" w:type="pct"/>
            <w:hideMark/>
          </w:tcPr>
          <w:p w14:paraId="2E82ADEB" w14:textId="0C0E65E6" w:rsidR="00BE3BFD" w:rsidRPr="00F34CA3" w:rsidRDefault="00BE3BFD" w:rsidP="00E91E47">
            <w:pPr>
              <w:keepNext/>
              <w:spacing w:after="40"/>
              <w:jc w:val="center"/>
              <w:cnfStyle w:val="100000000000" w:firstRow="1" w:lastRow="0" w:firstColumn="0" w:lastColumn="0" w:oddVBand="0" w:evenVBand="0" w:oddHBand="0" w:evenHBand="0" w:firstRowFirstColumn="0" w:firstRowLastColumn="0" w:lastRowFirstColumn="0" w:lastRowLastColumn="0"/>
              <w:rPr>
                <w:szCs w:val="20"/>
              </w:rPr>
            </w:pPr>
            <w:r w:rsidRPr="00F34CA3">
              <w:rPr>
                <w:szCs w:val="20"/>
              </w:rPr>
              <w:t>Number of Distributors</w:t>
            </w:r>
          </w:p>
        </w:tc>
      </w:tr>
      <w:tr w:rsidR="00BE3BFD" w:rsidRPr="00F34CA3" w14:paraId="52A84EDB" w14:textId="77777777" w:rsidTr="00BE3BFD">
        <w:trPr>
          <w:trHeight w:val="249"/>
        </w:trPr>
        <w:tc>
          <w:tcPr>
            <w:cnfStyle w:val="001000000000" w:firstRow="0" w:lastRow="0" w:firstColumn="1" w:lastColumn="0" w:oddVBand="0" w:evenVBand="0" w:oddHBand="0" w:evenHBand="0" w:firstRowFirstColumn="0" w:firstRowLastColumn="0" w:lastRowFirstColumn="0" w:lastRowLastColumn="0"/>
            <w:tcW w:w="3314" w:type="pct"/>
            <w:hideMark/>
          </w:tcPr>
          <w:p w14:paraId="2F66CB29" w14:textId="77777777" w:rsidR="00BE3BFD" w:rsidRPr="00F34CA3" w:rsidRDefault="00BE3BFD" w:rsidP="00E91E47">
            <w:pPr>
              <w:keepNext/>
              <w:spacing w:after="40"/>
              <w:rPr>
                <w:rFonts w:cs="Segoe UI"/>
                <w:b w:val="0"/>
                <w:szCs w:val="20"/>
              </w:rPr>
            </w:pPr>
            <w:r w:rsidRPr="00F34CA3">
              <w:rPr>
                <w:rFonts w:cs="Segoe UI"/>
                <w:szCs w:val="20"/>
              </w:rPr>
              <w:t>Total distributors included in outreach*</w:t>
            </w:r>
          </w:p>
        </w:tc>
        <w:tc>
          <w:tcPr>
            <w:tcW w:w="1686" w:type="pct"/>
            <w:hideMark/>
          </w:tcPr>
          <w:p w14:paraId="158CB92A" w14:textId="1ECC9144" w:rsidR="00BE3BFD" w:rsidRPr="00F34CA3" w:rsidRDefault="0012065E" w:rsidP="00BE3BFD">
            <w:pPr>
              <w:keepNext/>
              <w:jc w:val="center"/>
              <w:cnfStyle w:val="000000000000" w:firstRow="0" w:lastRow="0" w:firstColumn="0" w:lastColumn="0" w:oddVBand="0" w:evenVBand="0" w:oddHBand="0" w:evenHBand="0" w:firstRowFirstColumn="0" w:firstRowLastColumn="0" w:lastRowFirstColumn="0" w:lastRowLastColumn="0"/>
              <w:rPr>
                <w:rFonts w:cs="Segoe UI"/>
                <w:b/>
                <w:szCs w:val="20"/>
              </w:rPr>
            </w:pPr>
            <w:r>
              <w:rPr>
                <w:rFonts w:cs="Segoe UI"/>
                <w:b/>
                <w:szCs w:val="20"/>
              </w:rPr>
              <w:t>64</w:t>
            </w:r>
          </w:p>
        </w:tc>
      </w:tr>
      <w:tr w:rsidR="00BE3BFD" w:rsidRPr="00F34CA3" w14:paraId="79BE87AC" w14:textId="77777777" w:rsidTr="00BE3BFD">
        <w:trPr>
          <w:trHeight w:val="249"/>
        </w:trPr>
        <w:tc>
          <w:tcPr>
            <w:cnfStyle w:val="001000000000" w:firstRow="0" w:lastRow="0" w:firstColumn="1" w:lastColumn="0" w:oddVBand="0" w:evenVBand="0" w:oddHBand="0" w:evenHBand="0" w:firstRowFirstColumn="0" w:firstRowLastColumn="0" w:lastRowFirstColumn="0" w:lastRowLastColumn="0"/>
            <w:tcW w:w="3314" w:type="pct"/>
            <w:hideMark/>
          </w:tcPr>
          <w:p w14:paraId="1DE61628" w14:textId="77777777" w:rsidR="00BE3BFD" w:rsidRPr="00F34CA3" w:rsidRDefault="00BE3BFD" w:rsidP="00E91E47">
            <w:pPr>
              <w:keepNext/>
              <w:spacing w:after="40"/>
              <w:rPr>
                <w:rFonts w:cs="Segoe UI"/>
                <w:szCs w:val="20"/>
              </w:rPr>
            </w:pPr>
            <w:r w:rsidRPr="00F34CA3">
              <w:rPr>
                <w:rFonts w:cs="Segoe UI"/>
                <w:szCs w:val="20"/>
              </w:rPr>
              <w:t>Distributors submitting data</w:t>
            </w:r>
          </w:p>
        </w:tc>
        <w:tc>
          <w:tcPr>
            <w:tcW w:w="1686" w:type="pct"/>
            <w:hideMark/>
          </w:tcPr>
          <w:p w14:paraId="1EECB3E8" w14:textId="77777777" w:rsidR="00BE3BFD" w:rsidRPr="00BE3BFD" w:rsidRDefault="00BE3BFD" w:rsidP="00BE3BFD">
            <w:pPr>
              <w:keepNext/>
              <w:jc w:val="center"/>
              <w:cnfStyle w:val="000000000000" w:firstRow="0" w:lastRow="0" w:firstColumn="0" w:lastColumn="0" w:oddVBand="0" w:evenVBand="0" w:oddHBand="0" w:evenHBand="0" w:firstRowFirstColumn="0" w:firstRowLastColumn="0" w:lastRowFirstColumn="0" w:lastRowLastColumn="0"/>
              <w:rPr>
                <w:rFonts w:cs="Segoe UI"/>
                <w:b/>
                <w:bCs/>
                <w:szCs w:val="20"/>
              </w:rPr>
            </w:pPr>
            <w:r w:rsidRPr="00BE3BFD">
              <w:rPr>
                <w:rFonts w:cs="Segoe UI"/>
                <w:b/>
                <w:bCs/>
                <w:szCs w:val="20"/>
              </w:rPr>
              <w:t>24</w:t>
            </w:r>
          </w:p>
        </w:tc>
      </w:tr>
      <w:tr w:rsidR="00BE3BFD" w:rsidRPr="00F34CA3" w14:paraId="244F6D64" w14:textId="77777777" w:rsidTr="00BE3BFD">
        <w:trPr>
          <w:trHeight w:val="161"/>
        </w:trPr>
        <w:tc>
          <w:tcPr>
            <w:cnfStyle w:val="001000000000" w:firstRow="0" w:lastRow="0" w:firstColumn="1" w:lastColumn="0" w:oddVBand="0" w:evenVBand="0" w:oddHBand="0" w:evenHBand="0" w:firstRowFirstColumn="0" w:firstRowLastColumn="0" w:lastRowFirstColumn="0" w:lastRowLastColumn="0"/>
            <w:tcW w:w="3314" w:type="pct"/>
            <w:hideMark/>
          </w:tcPr>
          <w:p w14:paraId="1D67BAC3" w14:textId="77777777" w:rsidR="00BE3BFD" w:rsidRPr="00BE3BFD" w:rsidRDefault="00BE3BFD" w:rsidP="00BE3BFD">
            <w:pPr>
              <w:pStyle w:val="ListBullet"/>
              <w:rPr>
                <w:b w:val="0"/>
                <w:bCs/>
              </w:rPr>
            </w:pPr>
            <w:r w:rsidRPr="00BE3BFD">
              <w:rPr>
                <w:b w:val="0"/>
                <w:bCs/>
              </w:rPr>
              <w:t>Repeat participants</w:t>
            </w:r>
          </w:p>
        </w:tc>
        <w:tc>
          <w:tcPr>
            <w:tcW w:w="1686" w:type="pct"/>
            <w:hideMark/>
          </w:tcPr>
          <w:p w14:paraId="2F748642" w14:textId="5811CE38" w:rsidR="00BE3BFD" w:rsidRPr="00BE3BFD" w:rsidRDefault="00BE3BFD" w:rsidP="00BE3BFD">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BE3BFD">
              <w:rPr>
                <w:rFonts w:cs="Segoe UI"/>
                <w:bCs/>
                <w:szCs w:val="20"/>
              </w:rPr>
              <w:t>2</w:t>
            </w:r>
            <w:r w:rsidR="00F660C3">
              <w:rPr>
                <w:rFonts w:cs="Segoe UI"/>
                <w:bCs/>
                <w:szCs w:val="20"/>
              </w:rPr>
              <w:t>3</w:t>
            </w:r>
          </w:p>
        </w:tc>
      </w:tr>
      <w:tr w:rsidR="00BE3BFD" w:rsidRPr="00F34CA3" w14:paraId="067B32F2" w14:textId="77777777" w:rsidTr="00BE3BFD">
        <w:trPr>
          <w:trHeight w:val="161"/>
        </w:trPr>
        <w:tc>
          <w:tcPr>
            <w:cnfStyle w:val="001000000000" w:firstRow="0" w:lastRow="0" w:firstColumn="1" w:lastColumn="0" w:oddVBand="0" w:evenVBand="0" w:oddHBand="0" w:evenHBand="0" w:firstRowFirstColumn="0" w:firstRowLastColumn="0" w:lastRowFirstColumn="0" w:lastRowLastColumn="0"/>
            <w:tcW w:w="3314" w:type="pct"/>
            <w:hideMark/>
          </w:tcPr>
          <w:p w14:paraId="16245FE2" w14:textId="77777777" w:rsidR="00BE3BFD" w:rsidRPr="00BE3BFD" w:rsidRDefault="00BE3BFD" w:rsidP="00BE3BFD">
            <w:pPr>
              <w:pStyle w:val="ListBullet"/>
              <w:rPr>
                <w:b w:val="0"/>
                <w:bCs/>
              </w:rPr>
            </w:pPr>
            <w:r w:rsidRPr="00BE3BFD">
              <w:rPr>
                <w:b w:val="0"/>
                <w:bCs/>
              </w:rPr>
              <w:t>New participants</w:t>
            </w:r>
          </w:p>
        </w:tc>
        <w:tc>
          <w:tcPr>
            <w:tcW w:w="1686" w:type="pct"/>
            <w:hideMark/>
          </w:tcPr>
          <w:p w14:paraId="0C7F30AE" w14:textId="338C713B" w:rsidR="00BE3BFD" w:rsidRPr="00BE3BFD" w:rsidRDefault="00F660C3" w:rsidP="00BE3BFD">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Pr>
                <w:rFonts w:cs="Segoe UI"/>
                <w:bCs/>
                <w:szCs w:val="20"/>
              </w:rPr>
              <w:t>1</w:t>
            </w:r>
          </w:p>
        </w:tc>
      </w:tr>
      <w:tr w:rsidR="00BE3BFD" w:rsidRPr="00F34CA3" w14:paraId="677722E6" w14:textId="77777777" w:rsidTr="00BE3BFD">
        <w:trPr>
          <w:trHeight w:val="360"/>
        </w:trPr>
        <w:tc>
          <w:tcPr>
            <w:cnfStyle w:val="001000000000" w:firstRow="0" w:lastRow="0" w:firstColumn="1" w:lastColumn="0" w:oddVBand="0" w:evenVBand="0" w:oddHBand="0" w:evenHBand="0" w:firstRowFirstColumn="0" w:firstRowLastColumn="0" w:lastRowFirstColumn="0" w:lastRowLastColumn="0"/>
            <w:tcW w:w="3314" w:type="pct"/>
            <w:hideMark/>
          </w:tcPr>
          <w:p w14:paraId="3F5E1613" w14:textId="77777777" w:rsidR="00BE3BFD" w:rsidRPr="00F34CA3" w:rsidRDefault="00BE3BFD" w:rsidP="00E91E47">
            <w:pPr>
              <w:keepNext/>
              <w:spacing w:after="40"/>
              <w:rPr>
                <w:rFonts w:cs="Segoe UI"/>
                <w:szCs w:val="20"/>
              </w:rPr>
            </w:pPr>
            <w:r w:rsidRPr="00F34CA3">
              <w:rPr>
                <w:rFonts w:cs="Segoe UI"/>
                <w:szCs w:val="20"/>
              </w:rPr>
              <w:t>Distributors declining to participate</w:t>
            </w:r>
          </w:p>
        </w:tc>
        <w:tc>
          <w:tcPr>
            <w:tcW w:w="1686" w:type="pct"/>
            <w:hideMark/>
          </w:tcPr>
          <w:p w14:paraId="1781BE88" w14:textId="2F01C0A0" w:rsidR="00BE3BFD" w:rsidRPr="00F660C3" w:rsidRDefault="00BE3BFD" w:rsidP="00BE3BFD">
            <w:pPr>
              <w:keepNext/>
              <w:jc w:val="center"/>
              <w:cnfStyle w:val="000000000000" w:firstRow="0" w:lastRow="0" w:firstColumn="0" w:lastColumn="0" w:oddVBand="0" w:evenVBand="0" w:oddHBand="0" w:evenHBand="0" w:firstRowFirstColumn="0" w:firstRowLastColumn="0" w:lastRowFirstColumn="0" w:lastRowLastColumn="0"/>
              <w:rPr>
                <w:rFonts w:cs="Segoe UI"/>
                <w:b/>
                <w:bCs/>
                <w:szCs w:val="20"/>
                <w:highlight w:val="yellow"/>
              </w:rPr>
            </w:pPr>
            <w:r w:rsidRPr="0012065E">
              <w:rPr>
                <w:rFonts w:cs="Segoe UI"/>
                <w:b/>
                <w:bCs/>
                <w:szCs w:val="20"/>
              </w:rPr>
              <w:t>1</w:t>
            </w:r>
            <w:r w:rsidR="0012065E" w:rsidRPr="0012065E">
              <w:rPr>
                <w:rFonts w:cs="Segoe UI"/>
                <w:b/>
                <w:bCs/>
                <w:szCs w:val="20"/>
              </w:rPr>
              <w:t>5</w:t>
            </w:r>
          </w:p>
        </w:tc>
      </w:tr>
      <w:tr w:rsidR="00BE3BFD" w:rsidRPr="00F34CA3" w14:paraId="09ACD7B7" w14:textId="77777777" w:rsidTr="00BE3BFD">
        <w:tc>
          <w:tcPr>
            <w:cnfStyle w:val="001000000000" w:firstRow="0" w:lastRow="0" w:firstColumn="1" w:lastColumn="0" w:oddVBand="0" w:evenVBand="0" w:oddHBand="0" w:evenHBand="0" w:firstRowFirstColumn="0" w:firstRowLastColumn="0" w:lastRowFirstColumn="0" w:lastRowLastColumn="0"/>
            <w:tcW w:w="3314" w:type="pct"/>
            <w:hideMark/>
          </w:tcPr>
          <w:p w14:paraId="6082B3EF" w14:textId="77777777" w:rsidR="00BE3BFD" w:rsidRPr="00BE3BFD" w:rsidRDefault="00BE3BFD" w:rsidP="00BE3BFD">
            <w:pPr>
              <w:pStyle w:val="ListBullet"/>
              <w:rPr>
                <w:b w:val="0"/>
                <w:bCs/>
              </w:rPr>
            </w:pPr>
            <w:r w:rsidRPr="00BE3BFD">
              <w:rPr>
                <w:b w:val="0"/>
                <w:bCs/>
              </w:rPr>
              <w:t>Lack of time and/or interest</w:t>
            </w:r>
          </w:p>
        </w:tc>
        <w:tc>
          <w:tcPr>
            <w:tcW w:w="1686" w:type="pct"/>
            <w:hideMark/>
          </w:tcPr>
          <w:p w14:paraId="113DC4A0" w14:textId="23C361E6" w:rsidR="00BE3BFD" w:rsidRPr="00C21453" w:rsidRDefault="00BE3BFD" w:rsidP="00BE3BFD">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C21453">
              <w:rPr>
                <w:rFonts w:cs="Segoe UI"/>
                <w:bCs/>
                <w:szCs w:val="20"/>
              </w:rPr>
              <w:t>1</w:t>
            </w:r>
            <w:r w:rsidR="00C21453" w:rsidRPr="00C21453">
              <w:rPr>
                <w:rFonts w:cs="Segoe UI"/>
                <w:bCs/>
                <w:szCs w:val="20"/>
              </w:rPr>
              <w:t>2</w:t>
            </w:r>
          </w:p>
        </w:tc>
      </w:tr>
      <w:tr w:rsidR="00BE3BFD" w:rsidRPr="00F34CA3" w14:paraId="0D6298D9" w14:textId="77777777" w:rsidTr="00BE3BFD">
        <w:trPr>
          <w:trHeight w:val="278"/>
        </w:trPr>
        <w:tc>
          <w:tcPr>
            <w:cnfStyle w:val="001000000000" w:firstRow="0" w:lastRow="0" w:firstColumn="1" w:lastColumn="0" w:oddVBand="0" w:evenVBand="0" w:oddHBand="0" w:evenHBand="0" w:firstRowFirstColumn="0" w:firstRowLastColumn="0" w:lastRowFirstColumn="0" w:lastRowLastColumn="0"/>
            <w:tcW w:w="3314" w:type="pct"/>
            <w:hideMark/>
          </w:tcPr>
          <w:p w14:paraId="46DC33B0" w14:textId="77777777" w:rsidR="00BE3BFD" w:rsidRPr="00BE3BFD" w:rsidRDefault="00BE3BFD" w:rsidP="00BE3BFD">
            <w:pPr>
              <w:pStyle w:val="ListBullet"/>
              <w:rPr>
                <w:b w:val="0"/>
                <w:bCs/>
              </w:rPr>
            </w:pPr>
            <w:r w:rsidRPr="00BE3BFD">
              <w:rPr>
                <w:b w:val="0"/>
                <w:bCs/>
              </w:rPr>
              <w:t>Data reporting limitations</w:t>
            </w:r>
          </w:p>
        </w:tc>
        <w:tc>
          <w:tcPr>
            <w:tcW w:w="1686" w:type="pct"/>
            <w:hideMark/>
          </w:tcPr>
          <w:p w14:paraId="08B7C739" w14:textId="3343C82C" w:rsidR="00BE3BFD" w:rsidRPr="00C21453" w:rsidRDefault="00C21453" w:rsidP="00BE3BFD">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C21453">
              <w:rPr>
                <w:rFonts w:cs="Segoe UI"/>
                <w:bCs/>
                <w:szCs w:val="20"/>
              </w:rPr>
              <w:t>3</w:t>
            </w:r>
          </w:p>
        </w:tc>
      </w:tr>
      <w:tr w:rsidR="00BE3BFD" w:rsidRPr="00F34CA3" w14:paraId="0B511BE6" w14:textId="77777777" w:rsidTr="00BE3BFD">
        <w:trPr>
          <w:trHeight w:val="278"/>
        </w:trPr>
        <w:tc>
          <w:tcPr>
            <w:cnfStyle w:val="001000000000" w:firstRow="0" w:lastRow="0" w:firstColumn="1" w:lastColumn="0" w:oddVBand="0" w:evenVBand="0" w:oddHBand="0" w:evenHBand="0" w:firstRowFirstColumn="0" w:firstRowLastColumn="0" w:lastRowFirstColumn="0" w:lastRowLastColumn="0"/>
            <w:tcW w:w="3314" w:type="pct"/>
            <w:hideMark/>
          </w:tcPr>
          <w:p w14:paraId="1A8E66B8" w14:textId="77777777" w:rsidR="00BE3BFD" w:rsidRPr="00BE3BFD" w:rsidRDefault="00BE3BFD" w:rsidP="00BE3BFD">
            <w:pPr>
              <w:pStyle w:val="ListBullet"/>
              <w:rPr>
                <w:b w:val="0"/>
                <w:bCs/>
              </w:rPr>
            </w:pPr>
            <w:r w:rsidRPr="00BE3BFD">
              <w:rPr>
                <w:b w:val="0"/>
                <w:bCs/>
              </w:rPr>
              <w:t>Prohibited by company policy</w:t>
            </w:r>
          </w:p>
        </w:tc>
        <w:tc>
          <w:tcPr>
            <w:tcW w:w="1686" w:type="pct"/>
            <w:hideMark/>
          </w:tcPr>
          <w:p w14:paraId="640768EC" w14:textId="77777777" w:rsidR="00BE3BFD" w:rsidRPr="00C21453" w:rsidRDefault="00BE3BFD" w:rsidP="00BE3BFD">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C21453">
              <w:rPr>
                <w:rFonts w:cs="Segoe UI"/>
                <w:bCs/>
                <w:szCs w:val="20"/>
              </w:rPr>
              <w:t>0</w:t>
            </w:r>
          </w:p>
        </w:tc>
      </w:tr>
      <w:tr w:rsidR="00BE3BFD" w:rsidRPr="00F34CA3" w14:paraId="3F447E1E" w14:textId="77777777" w:rsidTr="00BE3BFD">
        <w:trPr>
          <w:trHeight w:val="278"/>
        </w:trPr>
        <w:tc>
          <w:tcPr>
            <w:cnfStyle w:val="001000000000" w:firstRow="0" w:lastRow="0" w:firstColumn="1" w:lastColumn="0" w:oddVBand="0" w:evenVBand="0" w:oddHBand="0" w:evenHBand="0" w:firstRowFirstColumn="0" w:firstRowLastColumn="0" w:lastRowFirstColumn="0" w:lastRowLastColumn="0"/>
            <w:tcW w:w="3314" w:type="pct"/>
            <w:hideMark/>
          </w:tcPr>
          <w:p w14:paraId="41A80B30" w14:textId="77777777" w:rsidR="00BE3BFD" w:rsidRPr="00F34CA3" w:rsidRDefault="00BE3BFD" w:rsidP="00E91E47">
            <w:pPr>
              <w:keepNext/>
              <w:spacing w:after="40"/>
              <w:rPr>
                <w:rFonts w:cs="Segoe UI"/>
                <w:szCs w:val="20"/>
              </w:rPr>
            </w:pPr>
            <w:r w:rsidRPr="00F34CA3">
              <w:rPr>
                <w:rFonts w:cs="Segoe UI"/>
                <w:szCs w:val="20"/>
              </w:rPr>
              <w:t>Distributors unresponsive to outreach</w:t>
            </w:r>
          </w:p>
        </w:tc>
        <w:tc>
          <w:tcPr>
            <w:tcW w:w="1686" w:type="pct"/>
            <w:hideMark/>
          </w:tcPr>
          <w:p w14:paraId="66C218F6" w14:textId="3833FD11" w:rsidR="00BE3BFD" w:rsidRPr="00C21453" w:rsidRDefault="0012065E" w:rsidP="00BE3BFD">
            <w:pPr>
              <w:keepNext/>
              <w:jc w:val="center"/>
              <w:cnfStyle w:val="000000000000" w:firstRow="0" w:lastRow="0" w:firstColumn="0" w:lastColumn="0" w:oddVBand="0" w:evenVBand="0" w:oddHBand="0" w:evenHBand="0" w:firstRowFirstColumn="0" w:firstRowLastColumn="0" w:lastRowFirstColumn="0" w:lastRowLastColumn="0"/>
              <w:rPr>
                <w:rFonts w:cs="Segoe UI"/>
                <w:b/>
                <w:bCs/>
                <w:szCs w:val="20"/>
              </w:rPr>
            </w:pPr>
            <w:r w:rsidRPr="00C21453">
              <w:rPr>
                <w:rFonts w:cs="Segoe UI"/>
                <w:b/>
                <w:bCs/>
                <w:szCs w:val="20"/>
              </w:rPr>
              <w:t>25</w:t>
            </w:r>
          </w:p>
        </w:tc>
      </w:tr>
    </w:tbl>
    <w:p w14:paraId="41A71C31" w14:textId="3506AD1D" w:rsidR="00BE3BFD" w:rsidRPr="003F6CED" w:rsidRDefault="00BE3BFD" w:rsidP="00BE3BFD">
      <w:pPr>
        <w:pStyle w:val="Source"/>
      </w:pPr>
      <w:r w:rsidRPr="003F6CED">
        <w:t>*Includes individual distributor branches that operate independently</w:t>
      </w:r>
      <w:r>
        <w:br/>
      </w:r>
      <w:r w:rsidRPr="003F6CED">
        <w:t xml:space="preserve">Source: </w:t>
      </w:r>
      <w:r w:rsidR="00A0726A">
        <w:t>2023 d</w:t>
      </w:r>
      <w:r w:rsidRPr="003F6CED">
        <w:t>istributor outreach tracking</w:t>
      </w:r>
    </w:p>
    <w:p w14:paraId="5F13C85F" w14:textId="75152222" w:rsidR="00BE3BFD" w:rsidRPr="00F34CA3" w:rsidRDefault="00BE3BFD" w:rsidP="00BE3BFD">
      <w:pPr>
        <w:pStyle w:val="BodyText"/>
      </w:pPr>
      <w:r w:rsidRPr="00F34CA3">
        <w:t>This year, 24 distributors submitted data</w:t>
      </w:r>
      <w:r w:rsidR="007A0D70">
        <w:rPr>
          <w:rFonts w:ascii="Segoe UI" w:hAnsi="Segoe UI" w:cs="Segoe UI"/>
        </w:rPr>
        <w:t>—</w:t>
      </w:r>
      <w:r w:rsidR="00384704">
        <w:t>the same as in 2022</w:t>
      </w:r>
      <w:r w:rsidRPr="00F34CA3">
        <w:t xml:space="preserve">. </w:t>
      </w:r>
      <w:r w:rsidR="00A62915" w:rsidRPr="00F34CA3">
        <w:t>Of the 2</w:t>
      </w:r>
      <w:r w:rsidR="00A62915">
        <w:t>4</w:t>
      </w:r>
      <w:r w:rsidR="00A62915" w:rsidRPr="00F34CA3">
        <w:t xml:space="preserve"> participants </w:t>
      </w:r>
      <w:r w:rsidR="00A62915">
        <w:t>from the previous year</w:t>
      </w:r>
      <w:r w:rsidR="00A62915" w:rsidRPr="00F34CA3">
        <w:t xml:space="preserve">, </w:t>
      </w:r>
      <w:r w:rsidR="00A62915">
        <w:t>one</w:t>
      </w:r>
      <w:r w:rsidR="00A62915" w:rsidRPr="00F34CA3">
        <w:t xml:space="preserve"> did not participate this year</w:t>
      </w:r>
      <w:r w:rsidR="00AD7B91">
        <w:t>.</w:t>
      </w:r>
      <w:r w:rsidR="00A62915" w:rsidRPr="00F34CA3">
        <w:t xml:space="preserve"> </w:t>
      </w:r>
      <w:r w:rsidR="00A62915">
        <w:t xml:space="preserve">The outreach team assumes the reason for nonparticipation is lack of time in this case. </w:t>
      </w:r>
      <w:r w:rsidR="00A62915" w:rsidRPr="00F34CA3">
        <w:t xml:space="preserve">However, </w:t>
      </w:r>
      <w:r w:rsidR="00A62915">
        <w:t xml:space="preserve">the research team successfully re-recruited </w:t>
      </w:r>
      <w:r w:rsidR="00A62915" w:rsidRPr="00F34CA3">
        <w:t xml:space="preserve">one participant that had historically participated but did not participate last year. </w:t>
      </w:r>
      <w:r w:rsidR="00A62915">
        <w:t>This year, the number of distributors who declined to participate (</w:t>
      </w:r>
      <w:r w:rsidR="00C21453">
        <w:t>15)</w:t>
      </w:r>
      <w:r w:rsidR="00A62915">
        <w:t xml:space="preserve"> is higher than last year (12). This increase is partially due to the outreach team increasing outreach efforts to understand </w:t>
      </w:r>
      <w:r w:rsidR="00065653">
        <w:t>distributor</w:t>
      </w:r>
      <w:r w:rsidR="00487ECB">
        <w:t>s’</w:t>
      </w:r>
      <w:r w:rsidR="00A62915">
        <w:t xml:space="preserve"> reasons for nonparticipation. The outreach team was more successful at </w:t>
      </w:r>
      <w:r w:rsidR="007A0D70">
        <w:t>contacting</w:t>
      </w:r>
      <w:r w:rsidR="00A62915">
        <w:t xml:space="preserve"> typically unresponsive distributors this year to clarify their reason for nonparticipation. </w:t>
      </w:r>
      <w:r>
        <w:t>These</w:t>
      </w:r>
      <w:r w:rsidRPr="00F34CA3">
        <w:t xml:space="preserve"> distributors declined either by ceasing to respond to outreach efforts or citing a lack of time or interest. T</w:t>
      </w:r>
      <w:r w:rsidR="00C21453">
        <w:t>hree</w:t>
      </w:r>
      <w:r w:rsidRPr="00F34CA3">
        <w:t xml:space="preserve"> of the declining </w:t>
      </w:r>
      <w:r w:rsidR="00C21453">
        <w:t>expressed concerns about data security as a primary limitation of participating</w:t>
      </w:r>
      <w:r w:rsidRPr="00F34CA3">
        <w:t xml:space="preserve">. </w:t>
      </w:r>
    </w:p>
    <w:p w14:paraId="0360F65F" w14:textId="1E4901F7" w:rsidR="00BE3BFD" w:rsidRDefault="00BE3BFD" w:rsidP="00BE3BFD">
      <w:pPr>
        <w:pStyle w:val="Heading1"/>
      </w:pPr>
      <w:r>
        <w:lastRenderedPageBreak/>
        <w:t>Data Structure</w:t>
      </w:r>
    </w:p>
    <w:p w14:paraId="791E8008" w14:textId="2D5A89F2" w:rsidR="00BE3BFD" w:rsidRPr="00F34CA3" w:rsidRDefault="00384704" w:rsidP="00BE3BFD">
      <w:pPr>
        <w:pStyle w:val="BodyText"/>
      </w:pPr>
      <w:r>
        <w:t>In each data collection effort, d</w:t>
      </w:r>
      <w:r w:rsidR="00BE3BFD" w:rsidRPr="00F34CA3">
        <w:t>istributors</w:t>
      </w:r>
      <w:r>
        <w:t xml:space="preserve"> have the option of submitting</w:t>
      </w:r>
      <w:r w:rsidR="00BE3BFD" w:rsidRPr="00F34CA3">
        <w:t xml:space="preserve"> sales data in two different formats: </w:t>
      </w:r>
    </w:p>
    <w:p w14:paraId="22229D28" w14:textId="7778931D" w:rsidR="00BE3BFD" w:rsidRPr="00F34CA3" w:rsidRDefault="00BE3BFD" w:rsidP="00BE3BFD">
      <w:pPr>
        <w:pStyle w:val="ListBullet"/>
      </w:pPr>
      <w:r>
        <w:t>T</w:t>
      </w:r>
      <w:r w:rsidRPr="00F34CA3">
        <w:t xml:space="preserve">he standardized survey tool provided. </w:t>
      </w:r>
      <w:r w:rsidR="00384704">
        <w:t>All 24 participants in 2023</w:t>
      </w:r>
      <w:r w:rsidRPr="00F34CA3">
        <w:t xml:space="preserve"> submitted data using the standard data collection tool.</w:t>
      </w:r>
    </w:p>
    <w:p w14:paraId="24F3D0E3" w14:textId="3BFBDCB6" w:rsidR="00BE3BFD" w:rsidRPr="00F34CA3" w:rsidRDefault="00BE3BFD" w:rsidP="00BE3BFD">
      <w:pPr>
        <w:pStyle w:val="ListBullet"/>
      </w:pPr>
      <w:r>
        <w:t>A</w:t>
      </w:r>
      <w:r w:rsidRPr="00F34CA3">
        <w:t xml:space="preserve"> custom protocol developed through discussions with the distributor to understand and work around data reporting limitations. </w:t>
      </w:r>
      <w:r w:rsidR="00384704">
        <w:t>No distributors participated using a custom protocol in 2023.</w:t>
      </w:r>
    </w:p>
    <w:p w14:paraId="38A167A3" w14:textId="6DB576AB" w:rsidR="00BE3BFD" w:rsidRPr="00F34CA3" w:rsidRDefault="00BE3BFD" w:rsidP="00BE3BFD">
      <w:pPr>
        <w:pStyle w:val="BodyText"/>
      </w:pPr>
      <w:r w:rsidRPr="00F34CA3">
        <w:t>Between 2019 and 2021</w:t>
      </w:r>
      <w:r>
        <w:t xml:space="preserve"> (data years 2018 to 2020)</w:t>
      </w:r>
      <w:r w:rsidR="007A0D70">
        <w:t>,</w:t>
      </w:r>
      <w:r w:rsidRPr="00F34CA3">
        <w:t xml:space="preserve"> NEEA worked with distributors that participated in various initiatives to streamline requests by requesting raw data extracts of all product sales from some of their partner distributors. These “data dumps” represented full-year, full-category data (except for controls) for participating distributors, not just linear fluorescent and</w:t>
      </w:r>
      <w:r>
        <w:t xml:space="preserve"> </w:t>
      </w:r>
      <w:bookmarkStart w:id="8" w:name="_Hlk106264289"/>
      <w:r w:rsidRPr="00F34CA3">
        <w:t xml:space="preserve">tubular LED </w:t>
      </w:r>
      <w:r>
        <w:t>(</w:t>
      </w:r>
      <w:r w:rsidRPr="00F34CA3">
        <w:t>TLED</w:t>
      </w:r>
      <w:r>
        <w:t>)</w:t>
      </w:r>
      <w:r w:rsidRPr="00F34CA3">
        <w:t xml:space="preserve"> </w:t>
      </w:r>
      <w:bookmarkEnd w:id="8"/>
      <w:r w:rsidRPr="00F34CA3">
        <w:t xml:space="preserve">data. This change was part of NEEA’s ongoing development of a distributor platform that supports distributor partnerships on multiple initiatives. </w:t>
      </w:r>
      <w:r>
        <w:t>Starting in 2021, NEEA did not collect data dumps from distributors, so t</w:t>
      </w:r>
      <w:r w:rsidRPr="00F34CA3">
        <w:t>he research team discontinued the data dump option for participating distributors</w:t>
      </w:r>
      <w:r w:rsidR="006B0BBC">
        <w:t>.</w:t>
      </w:r>
    </w:p>
    <w:p w14:paraId="2311A385" w14:textId="62ED9EB2" w:rsidR="00BE3BFD" w:rsidRPr="00F34CA3" w:rsidRDefault="00BE3BFD" w:rsidP="00BE3BFD">
      <w:pPr>
        <w:pStyle w:val="BodyText"/>
      </w:pPr>
      <w:r w:rsidRPr="00F34CA3">
        <w:t>The research team merged the data collected from both data submission formats with historic data submissions from 2013</w:t>
      </w:r>
      <w:r>
        <w:t xml:space="preserve"> to </w:t>
      </w:r>
      <w:r w:rsidRPr="00F34CA3">
        <w:t>202</w:t>
      </w:r>
      <w:r w:rsidR="006B0BBC">
        <w:t>1</w:t>
      </w:r>
      <w:r w:rsidRPr="00F34CA3">
        <w:t xml:space="preserve"> in a single SQL </w:t>
      </w:r>
      <w:r>
        <w:t>s</w:t>
      </w:r>
      <w:r w:rsidRPr="00F34CA3">
        <w:t>erver database. Collectively, these data span sales from 2013</w:t>
      </w:r>
      <w:r>
        <w:t xml:space="preserve"> to </w:t>
      </w:r>
      <w:r w:rsidRPr="00F34CA3">
        <w:t>202</w:t>
      </w:r>
      <w:r w:rsidR="006B0BBC">
        <w:t>2</w:t>
      </w:r>
      <w:r w:rsidRPr="00F34CA3">
        <w:t xml:space="preserve">. The research team used five fields to organize the sales data by lamp and luminaire characteristics, which </w:t>
      </w:r>
      <w:r w:rsidRPr="00F34CA3">
        <w:fldChar w:fldCharType="begin"/>
      </w:r>
      <w:r w:rsidRPr="00F34CA3">
        <w:instrText xml:space="preserve"> REF _Ref103611132 \h </w:instrText>
      </w:r>
      <w:r>
        <w:instrText xml:space="preserve"> \* MERGEFORMAT </w:instrText>
      </w:r>
      <w:r w:rsidRPr="00F34CA3">
        <w:fldChar w:fldCharType="separate"/>
      </w:r>
      <w:r w:rsidR="00C02B88" w:rsidRPr="00F34CA3">
        <w:t xml:space="preserve">Table </w:t>
      </w:r>
      <w:r w:rsidR="00C02B88">
        <w:t>2</w:t>
      </w:r>
      <w:r w:rsidRPr="00F34CA3">
        <w:fldChar w:fldCharType="end"/>
      </w:r>
      <w:r w:rsidRPr="00F34CA3">
        <w:t xml:space="preserve"> summarizes.</w:t>
      </w:r>
    </w:p>
    <w:p w14:paraId="76BAEDD8" w14:textId="5EC863BC" w:rsidR="00BE3BFD" w:rsidRPr="00F34CA3" w:rsidRDefault="00BE3BFD" w:rsidP="00BE3BFD">
      <w:pPr>
        <w:pStyle w:val="Caption"/>
      </w:pPr>
      <w:bookmarkStart w:id="9" w:name="_Ref103611132"/>
      <w:r w:rsidRPr="00F34CA3">
        <w:t xml:space="preserve">Table </w:t>
      </w:r>
      <w:r w:rsidRPr="00700802">
        <w:fldChar w:fldCharType="begin"/>
      </w:r>
      <w:r w:rsidRPr="00F34CA3">
        <w:instrText xml:space="preserve"> SEQ Table \* ARABIC </w:instrText>
      </w:r>
      <w:r w:rsidRPr="00700802">
        <w:fldChar w:fldCharType="separate"/>
      </w:r>
      <w:r w:rsidR="00C02B88">
        <w:rPr>
          <w:noProof/>
        </w:rPr>
        <w:t>2</w:t>
      </w:r>
      <w:r w:rsidRPr="00700802">
        <w:fldChar w:fldCharType="end"/>
      </w:r>
      <w:bookmarkEnd w:id="9"/>
      <w:r w:rsidRPr="00F34CA3">
        <w:t>: Lighting Product Description Fields Used in Database</w:t>
      </w:r>
    </w:p>
    <w:tbl>
      <w:tblPr>
        <w:tblStyle w:val="BPATable-classic"/>
        <w:tblW w:w="0" w:type="auto"/>
        <w:tblLook w:val="04A0" w:firstRow="1" w:lastRow="0" w:firstColumn="1" w:lastColumn="0" w:noHBand="0" w:noVBand="1"/>
      </w:tblPr>
      <w:tblGrid>
        <w:gridCol w:w="2718"/>
        <w:gridCol w:w="6642"/>
      </w:tblGrid>
      <w:tr w:rsidR="00BE3BFD" w:rsidRPr="00F34CA3" w14:paraId="7349F87C" w14:textId="77777777" w:rsidTr="00BE3B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14:paraId="7C437113" w14:textId="77777777" w:rsidR="00BE3BFD" w:rsidRPr="00F34CA3" w:rsidRDefault="00BE3BFD" w:rsidP="00E91E47">
            <w:pPr>
              <w:keepNext/>
              <w:spacing w:after="40"/>
              <w:rPr>
                <w:szCs w:val="20"/>
              </w:rPr>
            </w:pPr>
            <w:r w:rsidRPr="00F34CA3">
              <w:rPr>
                <w:szCs w:val="20"/>
              </w:rPr>
              <w:t>Field Name</w:t>
            </w:r>
          </w:p>
        </w:tc>
        <w:tc>
          <w:tcPr>
            <w:tcW w:w="6642" w:type="dxa"/>
          </w:tcPr>
          <w:p w14:paraId="4255DE9D" w14:textId="77777777" w:rsidR="00BE3BFD" w:rsidRPr="00F34CA3" w:rsidRDefault="00BE3BFD" w:rsidP="00E91E47">
            <w:pPr>
              <w:keepNext/>
              <w:spacing w:after="40"/>
              <w:cnfStyle w:val="100000000000" w:firstRow="1" w:lastRow="0" w:firstColumn="0" w:lastColumn="0" w:oddVBand="0" w:evenVBand="0" w:oddHBand="0" w:evenHBand="0" w:firstRowFirstColumn="0" w:firstRowLastColumn="0" w:lastRowFirstColumn="0" w:lastRowLastColumn="0"/>
              <w:rPr>
                <w:szCs w:val="20"/>
              </w:rPr>
            </w:pPr>
            <w:r w:rsidRPr="00F34CA3">
              <w:rPr>
                <w:szCs w:val="20"/>
              </w:rPr>
              <w:t>Description</w:t>
            </w:r>
          </w:p>
        </w:tc>
      </w:tr>
      <w:tr w:rsidR="00BE3BFD" w:rsidRPr="00F34CA3" w14:paraId="1D67F6DD" w14:textId="77777777" w:rsidTr="00BE3BFD">
        <w:tc>
          <w:tcPr>
            <w:cnfStyle w:val="001000000000" w:firstRow="0" w:lastRow="0" w:firstColumn="1" w:lastColumn="0" w:oddVBand="0" w:evenVBand="0" w:oddHBand="0" w:evenHBand="0" w:firstRowFirstColumn="0" w:firstRowLastColumn="0" w:lastRowFirstColumn="0" w:lastRowLastColumn="0"/>
            <w:tcW w:w="2718" w:type="dxa"/>
          </w:tcPr>
          <w:p w14:paraId="77CEA9E0" w14:textId="77777777" w:rsidR="00BE3BFD" w:rsidRPr="00F34CA3" w:rsidRDefault="00BE3BFD" w:rsidP="00E91E47">
            <w:pPr>
              <w:keepNext/>
              <w:spacing w:after="40"/>
              <w:rPr>
                <w:szCs w:val="20"/>
              </w:rPr>
            </w:pPr>
            <w:r w:rsidRPr="00F34CA3">
              <w:rPr>
                <w:szCs w:val="20"/>
              </w:rPr>
              <w:t>Lighting_Technology_Type</w:t>
            </w:r>
          </w:p>
        </w:tc>
        <w:tc>
          <w:tcPr>
            <w:tcW w:w="6642" w:type="dxa"/>
          </w:tcPr>
          <w:p w14:paraId="4E57E7E4" w14:textId="77777777" w:rsidR="00BE3BFD" w:rsidRPr="00F34CA3" w:rsidRDefault="00BE3BFD" w:rsidP="00E91E47">
            <w:pPr>
              <w:keepNext/>
              <w:cnfStyle w:val="000000000000" w:firstRow="0" w:lastRow="0" w:firstColumn="0" w:lastColumn="0" w:oddVBand="0" w:evenVBand="0" w:oddHBand="0" w:evenHBand="0" w:firstRowFirstColumn="0" w:firstRowLastColumn="0" w:lastRowFirstColumn="0" w:lastRowLastColumn="0"/>
              <w:rPr>
                <w:szCs w:val="20"/>
              </w:rPr>
            </w:pPr>
            <w:r w:rsidRPr="00F34CA3">
              <w:rPr>
                <w:szCs w:val="20"/>
              </w:rPr>
              <w:t>The technology category includes either the lighting technology type (e.g., LED, linear fluorescent, etc.) or controls.</w:t>
            </w:r>
          </w:p>
        </w:tc>
      </w:tr>
      <w:tr w:rsidR="00BE3BFD" w:rsidRPr="00F34CA3" w14:paraId="67019567" w14:textId="77777777" w:rsidTr="00BE3BFD">
        <w:tc>
          <w:tcPr>
            <w:cnfStyle w:val="001000000000" w:firstRow="0" w:lastRow="0" w:firstColumn="1" w:lastColumn="0" w:oddVBand="0" w:evenVBand="0" w:oddHBand="0" w:evenHBand="0" w:firstRowFirstColumn="0" w:firstRowLastColumn="0" w:lastRowFirstColumn="0" w:lastRowLastColumn="0"/>
            <w:tcW w:w="2718" w:type="dxa"/>
          </w:tcPr>
          <w:p w14:paraId="38763861" w14:textId="77777777" w:rsidR="00BE3BFD" w:rsidRPr="00F34CA3" w:rsidRDefault="00BE3BFD" w:rsidP="00E91E47">
            <w:pPr>
              <w:keepNext/>
              <w:spacing w:after="40"/>
              <w:rPr>
                <w:szCs w:val="20"/>
              </w:rPr>
            </w:pPr>
            <w:r w:rsidRPr="00F34CA3">
              <w:rPr>
                <w:szCs w:val="20"/>
              </w:rPr>
              <w:t>General_Category</w:t>
            </w:r>
          </w:p>
        </w:tc>
        <w:tc>
          <w:tcPr>
            <w:tcW w:w="6642" w:type="dxa"/>
          </w:tcPr>
          <w:p w14:paraId="2A5DAEA4" w14:textId="70BF2999" w:rsidR="00BE3BFD" w:rsidRPr="00F34CA3" w:rsidRDefault="00BE3BFD" w:rsidP="00E91E47">
            <w:pPr>
              <w:keepNext/>
              <w:cnfStyle w:val="000000000000" w:firstRow="0" w:lastRow="0" w:firstColumn="0" w:lastColumn="0" w:oddVBand="0" w:evenVBand="0" w:oddHBand="0" w:evenHBand="0" w:firstRowFirstColumn="0" w:firstRowLastColumn="0" w:lastRowFirstColumn="0" w:lastRowLastColumn="0"/>
              <w:rPr>
                <w:szCs w:val="20"/>
              </w:rPr>
            </w:pPr>
            <w:r w:rsidRPr="00F34CA3">
              <w:rPr>
                <w:szCs w:val="20"/>
              </w:rPr>
              <w:t xml:space="preserve">This field lists the lamp shape (e.g., T8, T5, A-Type, Reflector, etc.), fixture type, or type of </w:t>
            </w:r>
            <w:r>
              <w:rPr>
                <w:szCs w:val="20"/>
              </w:rPr>
              <w:t>h</w:t>
            </w:r>
            <w:r w:rsidRPr="001C23DE">
              <w:rPr>
                <w:szCs w:val="20"/>
              </w:rPr>
              <w:t>igh</w:t>
            </w:r>
            <w:r w:rsidR="005A7D57">
              <w:rPr>
                <w:szCs w:val="20"/>
              </w:rPr>
              <w:t>-</w:t>
            </w:r>
            <w:r>
              <w:rPr>
                <w:szCs w:val="20"/>
              </w:rPr>
              <w:t>i</w:t>
            </w:r>
            <w:r w:rsidRPr="001C23DE">
              <w:rPr>
                <w:szCs w:val="20"/>
              </w:rPr>
              <w:t xml:space="preserve">ntensity </w:t>
            </w:r>
            <w:r>
              <w:rPr>
                <w:szCs w:val="20"/>
              </w:rPr>
              <w:t>d</w:t>
            </w:r>
            <w:r w:rsidRPr="001C23DE">
              <w:rPr>
                <w:szCs w:val="20"/>
              </w:rPr>
              <w:t xml:space="preserve">ischarge </w:t>
            </w:r>
            <w:r>
              <w:rPr>
                <w:szCs w:val="20"/>
              </w:rPr>
              <w:t>(</w:t>
            </w:r>
            <w:r w:rsidRPr="00F34CA3">
              <w:rPr>
                <w:szCs w:val="20"/>
              </w:rPr>
              <w:t>HID</w:t>
            </w:r>
            <w:r>
              <w:rPr>
                <w:szCs w:val="20"/>
              </w:rPr>
              <w:t>)</w:t>
            </w:r>
            <w:r w:rsidRPr="00F34CA3">
              <w:rPr>
                <w:szCs w:val="20"/>
              </w:rPr>
              <w:t xml:space="preserve"> lamp (e.g., high-pressure sodium, metal halide, or mercury vapor).</w:t>
            </w:r>
          </w:p>
        </w:tc>
      </w:tr>
      <w:tr w:rsidR="00BE3BFD" w:rsidRPr="00F34CA3" w14:paraId="6D536EC5" w14:textId="77777777" w:rsidTr="00BE3BFD">
        <w:tc>
          <w:tcPr>
            <w:cnfStyle w:val="001000000000" w:firstRow="0" w:lastRow="0" w:firstColumn="1" w:lastColumn="0" w:oddVBand="0" w:evenVBand="0" w:oddHBand="0" w:evenHBand="0" w:firstRowFirstColumn="0" w:firstRowLastColumn="0" w:lastRowFirstColumn="0" w:lastRowLastColumn="0"/>
            <w:tcW w:w="2718" w:type="dxa"/>
          </w:tcPr>
          <w:p w14:paraId="42CD89BA" w14:textId="77777777" w:rsidR="00BE3BFD" w:rsidRPr="00F34CA3" w:rsidRDefault="00BE3BFD" w:rsidP="00E91E47">
            <w:pPr>
              <w:keepNext/>
              <w:spacing w:after="40"/>
              <w:rPr>
                <w:szCs w:val="20"/>
              </w:rPr>
            </w:pPr>
            <w:r w:rsidRPr="00F34CA3">
              <w:rPr>
                <w:szCs w:val="20"/>
              </w:rPr>
              <w:t>Dimension</w:t>
            </w:r>
          </w:p>
        </w:tc>
        <w:tc>
          <w:tcPr>
            <w:tcW w:w="6642" w:type="dxa"/>
          </w:tcPr>
          <w:p w14:paraId="62298154" w14:textId="77777777" w:rsidR="00BE3BFD" w:rsidRPr="00F34CA3" w:rsidRDefault="00BE3BFD" w:rsidP="00E91E47">
            <w:pPr>
              <w:keepNext/>
              <w:cnfStyle w:val="000000000000" w:firstRow="0" w:lastRow="0" w:firstColumn="0" w:lastColumn="0" w:oddVBand="0" w:evenVBand="0" w:oddHBand="0" w:evenHBand="0" w:firstRowFirstColumn="0" w:firstRowLastColumn="0" w:lastRowFirstColumn="0" w:lastRowLastColumn="0"/>
              <w:rPr>
                <w:szCs w:val="20"/>
              </w:rPr>
            </w:pPr>
            <w:r w:rsidRPr="00F34CA3">
              <w:rPr>
                <w:szCs w:val="20"/>
              </w:rPr>
              <w:t>Where applicable, this field provides the length or dimensions of the lamp or fixture. This field primarily applies to linear lamps and fixtures (e.g., 4-foot and 8-foot lamps).</w:t>
            </w:r>
          </w:p>
        </w:tc>
      </w:tr>
      <w:tr w:rsidR="00BE3BFD" w:rsidRPr="00F34CA3" w14:paraId="523190CF" w14:textId="77777777" w:rsidTr="00BE3BFD">
        <w:tc>
          <w:tcPr>
            <w:cnfStyle w:val="001000000000" w:firstRow="0" w:lastRow="0" w:firstColumn="1" w:lastColumn="0" w:oddVBand="0" w:evenVBand="0" w:oddHBand="0" w:evenHBand="0" w:firstRowFirstColumn="0" w:firstRowLastColumn="0" w:lastRowFirstColumn="0" w:lastRowLastColumn="0"/>
            <w:tcW w:w="2718" w:type="dxa"/>
          </w:tcPr>
          <w:p w14:paraId="34CD740D" w14:textId="77777777" w:rsidR="00BE3BFD" w:rsidRPr="00F34CA3" w:rsidDel="00AC48B0" w:rsidRDefault="00BE3BFD" w:rsidP="00E91E47">
            <w:pPr>
              <w:keepNext/>
              <w:spacing w:after="40"/>
              <w:rPr>
                <w:szCs w:val="20"/>
              </w:rPr>
            </w:pPr>
            <w:r w:rsidRPr="00F34CA3">
              <w:rPr>
                <w:szCs w:val="20"/>
              </w:rPr>
              <w:t xml:space="preserve">Subcategory </w:t>
            </w:r>
          </w:p>
        </w:tc>
        <w:tc>
          <w:tcPr>
            <w:tcW w:w="6642" w:type="dxa"/>
          </w:tcPr>
          <w:p w14:paraId="48E9F38F" w14:textId="77777777" w:rsidR="00BE3BFD" w:rsidRPr="00F34CA3" w:rsidRDefault="00BE3BFD" w:rsidP="00E91E47">
            <w:pPr>
              <w:keepNext/>
              <w:cnfStyle w:val="000000000000" w:firstRow="0" w:lastRow="0" w:firstColumn="0" w:lastColumn="0" w:oddVBand="0" w:evenVBand="0" w:oddHBand="0" w:evenHBand="0" w:firstRowFirstColumn="0" w:firstRowLastColumn="0" w:lastRowFirstColumn="0" w:lastRowLastColumn="0"/>
              <w:rPr>
                <w:szCs w:val="20"/>
              </w:rPr>
            </w:pPr>
            <w:r w:rsidRPr="00F34CA3">
              <w:rPr>
                <w:szCs w:val="20"/>
              </w:rPr>
              <w:t>This field provides additional detail on lamp and fixture characteristics. Details may include a specific wattage, wattage range, lumen output, or more specific lamp shape (e.g., MR16 within the “Reflectors” general category).</w:t>
            </w:r>
          </w:p>
        </w:tc>
      </w:tr>
      <w:tr w:rsidR="00BE3BFD" w:rsidRPr="00F34CA3" w14:paraId="2A3D4B06" w14:textId="77777777" w:rsidTr="00BE3BFD">
        <w:tc>
          <w:tcPr>
            <w:cnfStyle w:val="001000000000" w:firstRow="0" w:lastRow="0" w:firstColumn="1" w:lastColumn="0" w:oddVBand="0" w:evenVBand="0" w:oddHBand="0" w:evenHBand="0" w:firstRowFirstColumn="0" w:firstRowLastColumn="0" w:lastRowFirstColumn="0" w:lastRowLastColumn="0"/>
            <w:tcW w:w="2718" w:type="dxa"/>
          </w:tcPr>
          <w:p w14:paraId="528D4990" w14:textId="77777777" w:rsidR="00BE3BFD" w:rsidRPr="00F34CA3" w:rsidRDefault="00BE3BFD" w:rsidP="00E91E47">
            <w:pPr>
              <w:keepNext/>
              <w:spacing w:after="40"/>
              <w:rPr>
                <w:szCs w:val="20"/>
              </w:rPr>
            </w:pPr>
            <w:r w:rsidRPr="00F34CA3">
              <w:rPr>
                <w:szCs w:val="20"/>
              </w:rPr>
              <w:t>Base_Type</w:t>
            </w:r>
          </w:p>
        </w:tc>
        <w:tc>
          <w:tcPr>
            <w:tcW w:w="6642" w:type="dxa"/>
          </w:tcPr>
          <w:p w14:paraId="114BF687" w14:textId="77777777" w:rsidR="00BE3BFD" w:rsidRPr="00F34CA3" w:rsidRDefault="00BE3BFD" w:rsidP="00E91E47">
            <w:pPr>
              <w:keepNext/>
              <w:cnfStyle w:val="000000000000" w:firstRow="0" w:lastRow="0" w:firstColumn="0" w:lastColumn="0" w:oddVBand="0" w:evenVBand="0" w:oddHBand="0" w:evenHBand="0" w:firstRowFirstColumn="0" w:firstRowLastColumn="0" w:lastRowFirstColumn="0" w:lastRowLastColumn="0"/>
              <w:rPr>
                <w:szCs w:val="20"/>
              </w:rPr>
            </w:pPr>
            <w:r w:rsidRPr="00F34CA3">
              <w:rPr>
                <w:szCs w:val="20"/>
              </w:rPr>
              <w:t xml:space="preserve">This field specifies whether the product is a fixture; for lamps it indicates whether the base type is screw-in, mogul-base screw-in, or pin. </w:t>
            </w:r>
          </w:p>
        </w:tc>
      </w:tr>
    </w:tbl>
    <w:p w14:paraId="4CD28682" w14:textId="77777777" w:rsidR="00BE3BFD" w:rsidRDefault="00BE3BFD" w:rsidP="00BE3BFD">
      <w:pPr>
        <w:pStyle w:val="BodyText"/>
      </w:pPr>
    </w:p>
    <w:p w14:paraId="0C73DE94" w14:textId="32B6ED27" w:rsidR="00BE3BFD" w:rsidRPr="00F34CA3" w:rsidRDefault="006B0BBC" w:rsidP="00BE3BFD">
      <w:pPr>
        <w:pStyle w:val="BodyText"/>
      </w:pPr>
      <w:r>
        <w:lastRenderedPageBreak/>
        <w:fldChar w:fldCharType="begin"/>
      </w:r>
      <w:r>
        <w:instrText xml:space="preserve"> REF _Ref133834436 \h </w:instrText>
      </w:r>
      <w:r>
        <w:fldChar w:fldCharType="separate"/>
      </w:r>
      <w:r w:rsidR="00C02B88">
        <w:t xml:space="preserve">Appendix 2: </w:t>
      </w:r>
      <w:r w:rsidR="00C02B88" w:rsidRPr="00843C34">
        <w:t>Summary of Unique Database Category Entries</w:t>
      </w:r>
      <w:r>
        <w:fldChar w:fldCharType="end"/>
      </w:r>
      <w:r w:rsidR="00BE3BFD" w:rsidRPr="00F34CA3">
        <w:t xml:space="preserve"> provides a complete list of possible entries for these fields, and </w:t>
      </w:r>
      <w:r>
        <w:fldChar w:fldCharType="begin"/>
      </w:r>
      <w:r>
        <w:instrText xml:space="preserve"> REF _Ref133834441 \h </w:instrText>
      </w:r>
      <w:r>
        <w:fldChar w:fldCharType="separate"/>
      </w:r>
      <w:r w:rsidR="00C02B88">
        <w:t>Appendix 3: Detailed Data Cleaning Approach</w:t>
      </w:r>
      <w:r>
        <w:fldChar w:fldCharType="end"/>
      </w:r>
      <w:r w:rsidR="00BE3BFD">
        <w:t xml:space="preserve"> </w:t>
      </w:r>
      <w:r w:rsidR="00BE3BFD" w:rsidRPr="00F34CA3">
        <w:t>describes the analysis process.</w:t>
      </w:r>
    </w:p>
    <w:p w14:paraId="542E8C7C" w14:textId="20546DBF" w:rsidR="00BE3BFD" w:rsidRPr="00F34CA3" w:rsidRDefault="00BE3BFD" w:rsidP="00BE3BFD">
      <w:pPr>
        <w:pStyle w:val="BodyText"/>
      </w:pPr>
      <w:r w:rsidRPr="00F34CA3">
        <w:t>Under the 2013 data collection effort, distributors provided data back to 2010. But, for the 202</w:t>
      </w:r>
      <w:r w:rsidR="006B0BBC">
        <w:t>3</w:t>
      </w:r>
      <w:r w:rsidRPr="00F34CA3">
        <w:t xml:space="preserve"> analysis, the research team focused only on sales in years 2013</w:t>
      </w:r>
      <w:r w:rsidR="003914D9">
        <w:rPr>
          <w:rFonts w:cs="Segoe UI"/>
        </w:rPr>
        <w:t xml:space="preserve"> through </w:t>
      </w:r>
      <w:r w:rsidRPr="00F34CA3">
        <w:t>202</w:t>
      </w:r>
      <w:r w:rsidR="006B0BBC">
        <w:t>2</w:t>
      </w:r>
      <w:r w:rsidRPr="00F34CA3">
        <w:t>. Data quality and number of participants increased significantly in 2013 due to expanded outreach and revisions to the data collection instrument.</w:t>
      </w:r>
    </w:p>
    <w:p w14:paraId="24BBE9EE" w14:textId="203775F4" w:rsidR="00BE3BFD" w:rsidRDefault="00BE3BFD" w:rsidP="00BE3BFD">
      <w:pPr>
        <w:pStyle w:val="Heading1"/>
      </w:pPr>
      <w:r>
        <w:lastRenderedPageBreak/>
        <w:t>Summary of Data Gaps and Sources of Uncertainty</w:t>
      </w:r>
    </w:p>
    <w:p w14:paraId="10219507" w14:textId="0EFBEC75" w:rsidR="00BE3BFD" w:rsidRPr="00F34CA3" w:rsidRDefault="00BE3BFD" w:rsidP="00BE3BFD">
      <w:pPr>
        <w:pStyle w:val="BodyText"/>
      </w:pPr>
      <w:r w:rsidRPr="00F34CA3">
        <w:t>The research team identified the following data gaps and sources of uncertainty based on the 202</w:t>
      </w:r>
      <w:r w:rsidR="006B0BBC">
        <w:t>3</w:t>
      </w:r>
      <w:r w:rsidRPr="00F34CA3">
        <w:t xml:space="preserve"> study participation and analysis: </w:t>
      </w:r>
    </w:p>
    <w:p w14:paraId="735ED6D3" w14:textId="66B2D2F0" w:rsidR="00BE3BFD" w:rsidRPr="00F34CA3" w:rsidRDefault="00BE3BFD" w:rsidP="00BE3BFD">
      <w:pPr>
        <w:pStyle w:val="ListBullet"/>
        <w:rPr>
          <w:b/>
          <w:bCs/>
        </w:rPr>
      </w:pPr>
      <w:r w:rsidRPr="00F34CA3">
        <w:rPr>
          <w:b/>
          <w:bCs/>
        </w:rPr>
        <w:t>Inconsistent distributor participation contributes to uncertainty</w:t>
      </w:r>
      <w:r w:rsidR="007350BA">
        <w:rPr>
          <w:b/>
          <w:bCs/>
        </w:rPr>
        <w:t xml:space="preserve"> but that </w:t>
      </w:r>
      <w:r w:rsidR="00487ECB">
        <w:rPr>
          <w:b/>
          <w:bCs/>
        </w:rPr>
        <w:t xml:space="preserve">uncertainty </w:t>
      </w:r>
      <w:r w:rsidR="007350BA">
        <w:rPr>
          <w:b/>
          <w:bCs/>
        </w:rPr>
        <w:t>can be mitigated</w:t>
      </w:r>
      <w:r w:rsidRPr="00F34CA3">
        <w:rPr>
          <w:b/>
          <w:bCs/>
        </w:rPr>
        <w:t xml:space="preserve">. </w:t>
      </w:r>
      <w:r w:rsidRPr="00F34CA3">
        <w:t>Changes in distributor participation year over year create gaps in reported sales data. The</w:t>
      </w:r>
      <w:r>
        <w:t xml:space="preserve"> research team can fill the</w:t>
      </w:r>
      <w:r w:rsidRPr="00F34CA3">
        <w:t xml:space="preserve">se gaps if the distributor participates again in a future year (e.g., </w:t>
      </w:r>
      <w:r>
        <w:t>i</w:t>
      </w:r>
      <w:r w:rsidRPr="00F34CA3">
        <w:t>f a distributor participated in 202</w:t>
      </w:r>
      <w:r w:rsidR="006B0BBC">
        <w:t>1</w:t>
      </w:r>
      <w:r w:rsidRPr="00F34CA3">
        <w:t>, did not participate in 202</w:t>
      </w:r>
      <w:r w:rsidR="006B0BBC">
        <w:t>2</w:t>
      </w:r>
      <w:r w:rsidRPr="00F34CA3">
        <w:t xml:space="preserve">, </w:t>
      </w:r>
      <w:r>
        <w:t xml:space="preserve">and </w:t>
      </w:r>
      <w:r w:rsidRPr="00F34CA3">
        <w:t>then participates in 202</w:t>
      </w:r>
      <w:r w:rsidR="006B0BBC">
        <w:t>3</w:t>
      </w:r>
      <w:r w:rsidRPr="00F34CA3">
        <w:t xml:space="preserve">, </w:t>
      </w:r>
      <w:r>
        <w:t>the research team</w:t>
      </w:r>
      <w:r w:rsidRPr="00F34CA3">
        <w:t xml:space="preserve"> will ask that distributor to supply the missing year of data). Additionally, the research team has developed an extrapolation approach, discussed below, to estimate sales for distributors who contributed data in the past but did not contribute data in every year. The extrapolation process allows the research team to estimate missing distributors’ sales based on historic market shares and other participants’ sales. This allows </w:t>
      </w:r>
      <w:r>
        <w:t>the research team</w:t>
      </w:r>
      <w:r w:rsidRPr="00F34CA3">
        <w:t xml:space="preserve"> to leverage data from past and present participants but does not fully resolve the uncertainty due to limited data from some distributors.</w:t>
      </w:r>
    </w:p>
    <w:p w14:paraId="18646014" w14:textId="77777777" w:rsidR="00BE3BFD" w:rsidRPr="00F34CA3" w:rsidRDefault="00BE3BFD" w:rsidP="00BE3BFD">
      <w:pPr>
        <w:pStyle w:val="ListBullet"/>
      </w:pPr>
      <w:r w:rsidRPr="00F34CA3">
        <w:rPr>
          <w:b/>
          <w:bCs/>
        </w:rPr>
        <w:t>Collected sales data only represent the distribution sales channel.</w:t>
      </w:r>
      <w:r w:rsidRPr="00F34CA3">
        <w:t xml:space="preserve"> Market intelligence gathered by the research team indicates that the distribution channel is the largest sales channel for non-residential lighting. However, the sales data collected does not include sales from the following channels:</w:t>
      </w:r>
    </w:p>
    <w:p w14:paraId="5DC6A9D1" w14:textId="2A99DD75" w:rsidR="00BE3BFD" w:rsidRPr="00F34CA3" w:rsidRDefault="00BE3BFD">
      <w:pPr>
        <w:pStyle w:val="ListBullet"/>
        <w:numPr>
          <w:ilvl w:val="1"/>
          <w:numId w:val="2"/>
        </w:numPr>
      </w:pPr>
      <w:r w:rsidRPr="00B53D78">
        <w:rPr>
          <w:b/>
        </w:rPr>
        <w:t>National Account Distributors:</w:t>
      </w:r>
      <w:r>
        <w:rPr>
          <w:bCs/>
        </w:rPr>
        <w:t xml:space="preserve"> </w:t>
      </w:r>
      <w:r w:rsidRPr="00F34CA3">
        <w:rPr>
          <w:bCs/>
        </w:rPr>
        <w:t>The research team did not collect sales data from any specialized national account distributors.</w:t>
      </w:r>
      <w:r w:rsidRPr="00F34CA3">
        <w:t xml:space="preserve"> Despite multiple attempts over previous study years to connect with national account distributors, </w:t>
      </w:r>
      <w:r>
        <w:t>the research team</w:t>
      </w:r>
      <w:r w:rsidRPr="00F34CA3">
        <w:t xml:space="preserve"> has yet to secure participation from any of them. </w:t>
      </w:r>
      <w:r>
        <w:t>Although</w:t>
      </w:r>
      <w:r w:rsidRPr="00F34CA3">
        <w:t xml:space="preserve"> some participating distributors serve national account customers among other types of customers, previous research on national accounts suggests that many national accounts get their lighting products from specialized distributors that serve national accounts </w:t>
      </w:r>
      <w:r w:rsidRPr="00D01750">
        <w:rPr>
          <w:iCs/>
        </w:rPr>
        <w:t>exclusively</w:t>
      </w:r>
      <w:r w:rsidRPr="00F34CA3">
        <w:t>. It is possible that some lighting consultants serve more national accounts than traditional full</w:t>
      </w:r>
      <w:r>
        <w:t xml:space="preserve"> </w:t>
      </w:r>
      <w:r w:rsidRPr="00F34CA3">
        <w:t xml:space="preserve">line or MRO </w:t>
      </w:r>
      <w:r>
        <w:t>and</w:t>
      </w:r>
      <w:r w:rsidRPr="00F34CA3">
        <w:t xml:space="preserve"> online, but the research team did not explore this possibility specifically as part of this study. If participation from lighting consulting distributors remains high in future studies, the research team will explore </w:t>
      </w:r>
      <w:r w:rsidR="003914D9">
        <w:t>whether</w:t>
      </w:r>
      <w:r w:rsidR="003914D9" w:rsidRPr="00F34CA3">
        <w:t xml:space="preserve"> </w:t>
      </w:r>
      <w:r w:rsidRPr="00F34CA3">
        <w:t>having increased lighting consulting representation impacts the representation of national account sales.</w:t>
      </w:r>
    </w:p>
    <w:p w14:paraId="296DACDD" w14:textId="360F776B" w:rsidR="00BE3BFD" w:rsidRPr="00F34CA3" w:rsidRDefault="00BE3BFD">
      <w:pPr>
        <w:pStyle w:val="ListBullet"/>
        <w:numPr>
          <w:ilvl w:val="1"/>
          <w:numId w:val="2"/>
        </w:numPr>
      </w:pPr>
      <w:r w:rsidRPr="00B53D78">
        <w:rPr>
          <w:b/>
          <w:bCs/>
        </w:rPr>
        <w:t>Retailers:</w:t>
      </w:r>
      <w:r>
        <w:t xml:space="preserve"> </w:t>
      </w:r>
      <w:r w:rsidRPr="00F34CA3">
        <w:t>The research team collected sales data from only one low-volume sales retailer, giving a small, nonrepresentative look into the retail channel.</w:t>
      </w:r>
      <w:r w:rsidR="000B60EB">
        <w:t xml:space="preserve"> </w:t>
      </w:r>
      <w:r w:rsidRPr="00F34CA3">
        <w:t xml:space="preserve">Through market intelligence gathered over previous study years and modeling efforts, </w:t>
      </w:r>
      <w:r>
        <w:t>the research team</w:t>
      </w:r>
      <w:r w:rsidRPr="00F34CA3">
        <w:t xml:space="preserve"> believes that the retail channel could represent a </w:t>
      </w:r>
      <w:r w:rsidRPr="00F34CA3">
        <w:lastRenderedPageBreak/>
        <w:t xml:space="preserve">meaningful volume of non-residential lighting sales, particularly in the linear product technology categories. </w:t>
      </w:r>
      <w:r>
        <w:t>The research team</w:t>
      </w:r>
      <w:r w:rsidRPr="00F34CA3">
        <w:t xml:space="preserve"> has not had success in its efforts to collect sales data from other </w:t>
      </w:r>
      <w:r w:rsidR="003914D9">
        <w:t>retail</w:t>
      </w:r>
      <w:r w:rsidR="003914D9" w:rsidRPr="00F34CA3">
        <w:t xml:space="preserve"> </w:t>
      </w:r>
      <w:r w:rsidRPr="00F34CA3">
        <w:t xml:space="preserve">channels like Home Depot. </w:t>
      </w:r>
      <w:r w:rsidRPr="00F34CA3">
        <w:rPr>
          <w:bCs/>
        </w:rPr>
        <w:t xml:space="preserve">In future years of the study, the </w:t>
      </w:r>
      <w:r>
        <w:rPr>
          <w:bCs/>
        </w:rPr>
        <w:t xml:space="preserve">research </w:t>
      </w:r>
      <w:r w:rsidRPr="00F34CA3">
        <w:rPr>
          <w:bCs/>
        </w:rPr>
        <w:t>team will work to further define the size and importance of this sales channel as well as the sales mix of technologies sold through the retail channel.</w:t>
      </w:r>
    </w:p>
    <w:p w14:paraId="6F8D7060" w14:textId="0B8EB867" w:rsidR="00BE3BFD" w:rsidRPr="00F34CA3" w:rsidRDefault="00BE3BFD">
      <w:pPr>
        <w:pStyle w:val="ListBullet"/>
        <w:numPr>
          <w:ilvl w:val="1"/>
          <w:numId w:val="2"/>
        </w:numPr>
      </w:pPr>
      <w:r w:rsidRPr="00F15ED1">
        <w:rPr>
          <w:b/>
        </w:rPr>
        <w:t>Online Sales Channels:</w:t>
      </w:r>
      <w:r w:rsidRPr="00F15ED1">
        <w:rPr>
          <w:bCs/>
        </w:rPr>
        <w:t xml:space="preserve"> The research team did not collect sales data from any specialized online distributors or retailers, but some online sales are reflected in the collected data.</w:t>
      </w:r>
      <w:r w:rsidRPr="00F15ED1">
        <w:rPr>
          <w:b/>
        </w:rPr>
        <w:t xml:space="preserve"> </w:t>
      </w:r>
      <w:r w:rsidRPr="00F15ED1">
        <w:rPr>
          <w:bCs/>
        </w:rPr>
        <w:t>One long-time online distributor stopped participating in the study in 2018, and since then the research team has been unable to collect data from this segment. In previous years, the research team determined through webinars and informal interviews with traditional distributors that most traditional distributors are attempting to reach the online sales channel both through their own online sales platforms and through partnerships with third-party vendors like Amazon. In 2021, the research team added questions to the standard data collection tool to ask what percentage of sales were from online channels and if these sales were from their own websites or through third-party vendors. In 202</w:t>
      </w:r>
      <w:r w:rsidR="006B0BBC" w:rsidRPr="00F15ED1">
        <w:rPr>
          <w:bCs/>
        </w:rPr>
        <w:t>3</w:t>
      </w:r>
      <w:r w:rsidRPr="00F15ED1">
        <w:rPr>
          <w:bCs/>
        </w:rPr>
        <w:t xml:space="preserve">, </w:t>
      </w:r>
      <w:r w:rsidR="00F15ED1" w:rsidRPr="00F15ED1">
        <w:rPr>
          <w:bCs/>
        </w:rPr>
        <w:t>7</w:t>
      </w:r>
      <w:r w:rsidRPr="00F15ED1">
        <w:rPr>
          <w:bCs/>
        </w:rPr>
        <w:t xml:space="preserve"> of the 24 participants reported online sales. </w:t>
      </w:r>
      <w:r w:rsidR="00F15ED1" w:rsidRPr="00F15ED1">
        <w:rPr>
          <w:bCs/>
        </w:rPr>
        <w:t xml:space="preserve">All distributors with reported online sales </w:t>
      </w:r>
      <w:r w:rsidRPr="00F34CA3">
        <w:t>indicated that</w:t>
      </w:r>
      <w:r>
        <w:t xml:space="preserve"> they included</w:t>
      </w:r>
      <w:r w:rsidRPr="00F34CA3">
        <w:t xml:space="preserve"> these sales in the sales reported through the standard data collection tool, indicating that </w:t>
      </w:r>
      <w:r>
        <w:t>the research team</w:t>
      </w:r>
      <w:r w:rsidRPr="00F34CA3">
        <w:t xml:space="preserve"> is already collecting online sales from participating distributors. </w:t>
      </w:r>
      <w:r w:rsidR="00F15ED1">
        <w:t xml:space="preserve">Three additional distributors indicated that they offer product online through their websites but reported zero online sales, indicating that more distributors may be pursuing online sales channels. </w:t>
      </w:r>
      <w:r w:rsidRPr="00F15ED1">
        <w:rPr>
          <w:bCs/>
        </w:rPr>
        <w:t>In future years of the study, the research team will work to further define the size and importance of this sales channel as well as the percentage of online sales within data already collected in this study.</w:t>
      </w:r>
    </w:p>
    <w:p w14:paraId="201D07C4" w14:textId="2A80F267" w:rsidR="00BE3BFD" w:rsidRPr="00F34CA3" w:rsidRDefault="00BE3BFD" w:rsidP="00BE3BFD">
      <w:pPr>
        <w:pStyle w:val="ListBullet"/>
      </w:pPr>
      <w:r>
        <w:rPr>
          <w:b/>
        </w:rPr>
        <w:t>The research team adjusted s</w:t>
      </w:r>
      <w:r w:rsidRPr="00F34CA3">
        <w:rPr>
          <w:b/>
        </w:rPr>
        <w:t>ome reported sales data, with distributor verification, to account for residential sales.</w:t>
      </w:r>
      <w:r w:rsidRPr="00F34CA3">
        <w:rPr>
          <w:rStyle w:val="FootnoteReference"/>
          <w:b/>
        </w:rPr>
        <w:footnoteReference w:id="4"/>
      </w:r>
      <w:r w:rsidRPr="00F34CA3">
        <w:rPr>
          <w:bCs/>
        </w:rPr>
        <w:t xml:space="preserve"> For 2021</w:t>
      </w:r>
      <w:r w:rsidR="00F63D6C">
        <w:rPr>
          <w:bCs/>
        </w:rPr>
        <w:t xml:space="preserve"> and 2022</w:t>
      </w:r>
      <w:r w:rsidRPr="00F34CA3">
        <w:rPr>
          <w:bCs/>
        </w:rPr>
        <w:t xml:space="preserve"> sales data, all distributors indicated what percentage of their sales go to residential versus non-residential customers in the data collection tool. </w:t>
      </w:r>
      <w:r>
        <w:rPr>
          <w:bCs/>
        </w:rPr>
        <w:t>The research team</w:t>
      </w:r>
      <w:r w:rsidRPr="00F34CA3">
        <w:rPr>
          <w:bCs/>
        </w:rPr>
        <w:t xml:space="preserve"> confirmed with each distributor the split of sales and whether their reported sales included any residential sales. Distributors with both residential and non-residential sales confirmed the split between these sales and provided additional insights into which product categories contained residential sales. For these distributors, </w:t>
      </w:r>
      <w:r>
        <w:rPr>
          <w:bCs/>
        </w:rPr>
        <w:t>the research team</w:t>
      </w:r>
      <w:r w:rsidRPr="00F34CA3">
        <w:rPr>
          <w:bCs/>
        </w:rPr>
        <w:t xml:space="preserve"> normalized reported sales to only include non-residential sales</w:t>
      </w:r>
      <w:bookmarkStart w:id="10" w:name="_Hlk105492319"/>
      <w:r w:rsidRPr="00F34CA3">
        <w:rPr>
          <w:bCs/>
        </w:rPr>
        <w:t>.</w:t>
      </w:r>
    </w:p>
    <w:p w14:paraId="4314C197" w14:textId="40ED1E1F" w:rsidR="00BE3BFD" w:rsidRDefault="00BE3BFD" w:rsidP="00BE3BFD">
      <w:pPr>
        <w:pStyle w:val="Heading1"/>
      </w:pPr>
      <w:bookmarkStart w:id="11" w:name="_Ref137208559"/>
      <w:bookmarkEnd w:id="10"/>
      <w:r>
        <w:lastRenderedPageBreak/>
        <w:t>Extrapolation Methodology and Findings</w:t>
      </w:r>
      <w:bookmarkEnd w:id="11"/>
    </w:p>
    <w:p w14:paraId="599B8072" w14:textId="29A2AF40" w:rsidR="00BE3BFD" w:rsidRDefault="00BE3BFD" w:rsidP="00BE3BFD">
      <w:pPr>
        <w:pStyle w:val="Heading2"/>
      </w:pPr>
      <w:r>
        <w:t>Extrapolation Methodology</w:t>
      </w:r>
    </w:p>
    <w:p w14:paraId="615EECD6" w14:textId="375393AA" w:rsidR="00BE3BFD" w:rsidRPr="00F34CA3" w:rsidRDefault="00BE3BFD" w:rsidP="00BE3BFD">
      <w:pPr>
        <w:pStyle w:val="BodyText"/>
      </w:pPr>
      <w:r w:rsidRPr="00F34CA3">
        <w:t xml:space="preserve">To maintain consistency in the distributor database over time, </w:t>
      </w:r>
      <w:r>
        <w:t>the research team</w:t>
      </w:r>
      <w:r w:rsidRPr="00F34CA3">
        <w:t xml:space="preserve"> applied an extrapolation approach to leverage information submitted by nonparticipants in previous study years.</w:t>
      </w:r>
      <w:r w:rsidRPr="00F34CA3">
        <w:rPr>
          <w:rStyle w:val="FootnoteReference"/>
        </w:rPr>
        <w:footnoteReference w:id="5"/>
      </w:r>
      <w:r w:rsidRPr="00F34CA3">
        <w:t xml:space="preserve"> Extrapolation provides a mechanism to u</w:t>
      </w:r>
      <w:r>
        <w:t>s</w:t>
      </w:r>
      <w:r w:rsidRPr="00F34CA3">
        <w:t>e the best available information in any given year by projecting sales for previous study participants based on overall market trends and each participant’s past market activity.</w:t>
      </w:r>
    </w:p>
    <w:p w14:paraId="11B0B24D" w14:textId="59B795EF" w:rsidR="00BE3BFD" w:rsidRPr="00F34CA3" w:rsidRDefault="00BE3BFD" w:rsidP="00BE3BFD">
      <w:pPr>
        <w:pStyle w:val="BodyText"/>
      </w:pPr>
      <w:r w:rsidRPr="00F34CA3">
        <w:t xml:space="preserve">In this year’s study, the research team applied the same methodology to extrapolate missing sales data for each combination of distributor and technology as in previous years. </w:t>
      </w:r>
      <w:r>
        <w:t>The research team</w:t>
      </w:r>
      <w:r w:rsidRPr="00F34CA3">
        <w:t xml:space="preserve"> leveraged distributor-specific sales data to inform the extrapolation process.</w:t>
      </w:r>
      <w:r>
        <w:t xml:space="preserve"> One</w:t>
      </w:r>
      <w:r w:rsidR="006A7898">
        <w:t xml:space="preserve"> distributor submitted 2020 data, did not participate in 2022, then participated in 2023 and submitted 2021 and 2022 data. </w:t>
      </w:r>
      <w:r>
        <w:t>The</w:t>
      </w:r>
      <w:r w:rsidR="008C3269">
        <w:t xml:space="preserve"> research</w:t>
      </w:r>
      <w:r>
        <w:t xml:space="preserve"> team updated previous extrapolation results</w:t>
      </w:r>
      <w:r w:rsidR="006A7898">
        <w:t xml:space="preserve"> for 2021</w:t>
      </w:r>
      <w:r>
        <w:t xml:space="preserve"> to incorporate this additional data submission. </w:t>
      </w:r>
      <w:r w:rsidRPr="00F34CA3">
        <w:t xml:space="preserve"> </w:t>
      </w:r>
    </w:p>
    <w:p w14:paraId="42B4DE4F" w14:textId="77777777" w:rsidR="00BE3BFD" w:rsidRDefault="00BE3BFD" w:rsidP="00BE3BFD">
      <w:pPr>
        <w:pStyle w:val="BodyText"/>
      </w:pPr>
      <w:r w:rsidRPr="00F34CA3">
        <w:t>The extrapolation methodology relies on two core assumptions:</w:t>
      </w:r>
    </w:p>
    <w:p w14:paraId="1561FC39" w14:textId="0B44B5B7" w:rsidR="00BE3BFD" w:rsidRPr="00F34CA3" w:rsidRDefault="00BE3BFD">
      <w:pPr>
        <w:pStyle w:val="ListNumber"/>
        <w:numPr>
          <w:ilvl w:val="0"/>
          <w:numId w:val="5"/>
        </w:numPr>
      </w:pPr>
      <w:r w:rsidRPr="00F34CA3">
        <w:t xml:space="preserve">Distributors that did not participate retained a similar market share within lighting technologies and categories (e.g., LED </w:t>
      </w:r>
      <w:r>
        <w:t>d</w:t>
      </w:r>
      <w:r w:rsidRPr="00F34CA3">
        <w:t>ownlights) as they did in the previous year. In other words, distributors that did not participate experienced a similar trend in sales as the rest of the market within each technology and category. For example, if participants that submitted data for this study year (202</w:t>
      </w:r>
      <w:r w:rsidR="006B0BBC">
        <w:t>2</w:t>
      </w:r>
      <w:r w:rsidRPr="00F34CA3">
        <w:t>) and the previous year (202</w:t>
      </w:r>
      <w:r w:rsidR="006B0BBC">
        <w:t>1</w:t>
      </w:r>
      <w:r w:rsidRPr="00F34CA3">
        <w:t>) observed a 25% decrease in full-line</w:t>
      </w:r>
      <w:r w:rsidR="003914D9">
        <w:t xml:space="preserve"> </w:t>
      </w:r>
      <w:r w:rsidR="003914D9" w:rsidRPr="003914D9">
        <w:t>compact fluorescent lamp</w:t>
      </w:r>
      <w:r w:rsidRPr="00F34CA3">
        <w:t xml:space="preserve"> </w:t>
      </w:r>
      <w:r w:rsidR="003914D9">
        <w:t>(</w:t>
      </w:r>
      <w:r w:rsidRPr="00F34CA3">
        <w:t>CFL</w:t>
      </w:r>
      <w:r w:rsidR="003914D9">
        <w:t>)</w:t>
      </w:r>
      <w:r w:rsidRPr="00F34CA3">
        <w:t xml:space="preserve"> A-</w:t>
      </w:r>
      <w:r w:rsidR="00A85E8A">
        <w:t>t</w:t>
      </w:r>
      <w:r w:rsidRPr="00F34CA3">
        <w:t xml:space="preserve">ype lamp sales, then </w:t>
      </w:r>
      <w:r>
        <w:t>the research team</w:t>
      </w:r>
      <w:r w:rsidRPr="00F34CA3">
        <w:t xml:space="preserve"> assumed each nonparticipating distributor’s full-line CFL A-Type lamp sales decreased by 25% in 202</w:t>
      </w:r>
      <w:r w:rsidR="006B0BBC">
        <w:t>2</w:t>
      </w:r>
      <w:r w:rsidRPr="00F34CA3">
        <w:t>.</w:t>
      </w:r>
    </w:p>
    <w:p w14:paraId="6B15D558" w14:textId="7136E0AF" w:rsidR="00BE3BFD" w:rsidRPr="00F34CA3" w:rsidRDefault="00BE3BFD" w:rsidP="00BE3BFD">
      <w:pPr>
        <w:pStyle w:val="ListNumber"/>
      </w:pPr>
      <w:r w:rsidRPr="00F34CA3">
        <w:t>The mix of subcategories</w:t>
      </w:r>
      <w:r w:rsidRPr="00F34CA3">
        <w:rPr>
          <w:rStyle w:val="FootnoteReference"/>
          <w:b/>
        </w:rPr>
        <w:footnoteReference w:id="6"/>
      </w:r>
      <w:r w:rsidRPr="00F34CA3">
        <w:t xml:space="preserve"> (lamp shape, wattage, and base type) for a given distributor remains consistent over time. For example, if a participating distributor’s sales show that in 202</w:t>
      </w:r>
      <w:r w:rsidR="006B0BBC">
        <w:t>1</w:t>
      </w:r>
      <w:r w:rsidRPr="00F34CA3">
        <w:t xml:space="preserve"> 5% of full-line 4-foot T8 lamp sales are 28W lamps, the analysis assumes that 5% of the missing distributors’ 4-foot T8 lamp sales were 28W lamps in 202</w:t>
      </w:r>
      <w:r w:rsidR="006B0BBC">
        <w:t>2</w:t>
      </w:r>
      <w:r w:rsidRPr="00F34CA3">
        <w:t xml:space="preserve">. </w:t>
      </w:r>
    </w:p>
    <w:p w14:paraId="22F2EC54" w14:textId="77777777" w:rsidR="00BE3BFD" w:rsidRPr="00F34CA3" w:rsidRDefault="00BE3BFD" w:rsidP="00BE3BFD">
      <w:pPr>
        <w:pStyle w:val="BodyText"/>
      </w:pPr>
      <w:r w:rsidRPr="00F34CA3">
        <w:t>At a high level, the extrapolation methodology is broken into three steps:</w:t>
      </w:r>
    </w:p>
    <w:p w14:paraId="5C61180C" w14:textId="08A13F03" w:rsidR="00BE3BFD" w:rsidRPr="00F34CA3" w:rsidRDefault="00BE3BFD">
      <w:pPr>
        <w:pStyle w:val="ListNumber"/>
        <w:numPr>
          <w:ilvl w:val="0"/>
          <w:numId w:val="6"/>
        </w:numPr>
      </w:pPr>
      <w:r w:rsidRPr="00F34CA3">
        <w:t>Identify distributors that participated in both the extrapolation year (</w:t>
      </w:r>
      <w:r>
        <w:t>i</w:t>
      </w:r>
      <w:r w:rsidRPr="00F34CA3">
        <w:t>.</w:t>
      </w:r>
      <w:r>
        <w:t>e</w:t>
      </w:r>
      <w:r w:rsidRPr="00F34CA3">
        <w:t>., 202</w:t>
      </w:r>
      <w:r w:rsidR="006B0BBC">
        <w:t>2</w:t>
      </w:r>
      <w:r w:rsidRPr="00F34CA3">
        <w:t>) and the previous year (</w:t>
      </w:r>
      <w:r>
        <w:t>i</w:t>
      </w:r>
      <w:r w:rsidRPr="00F34CA3">
        <w:t>.</w:t>
      </w:r>
      <w:r>
        <w:t>e</w:t>
      </w:r>
      <w:r w:rsidRPr="00F34CA3">
        <w:t>., 202</w:t>
      </w:r>
      <w:r w:rsidR="006B0BBC">
        <w:t>1</w:t>
      </w:r>
      <w:r w:rsidRPr="00F34CA3">
        <w:t>)</w:t>
      </w:r>
      <w:r>
        <w:t>.</w:t>
      </w:r>
    </w:p>
    <w:p w14:paraId="13E473C8" w14:textId="77777777" w:rsidR="00BE3BFD" w:rsidRPr="00F34CA3" w:rsidRDefault="00BE3BFD">
      <w:pPr>
        <w:pStyle w:val="ListNumber"/>
        <w:numPr>
          <w:ilvl w:val="0"/>
          <w:numId w:val="6"/>
        </w:numPr>
      </w:pPr>
      <w:r w:rsidRPr="00F34CA3">
        <w:t>Calculate the year-over-year percentage change in sales within each technology</w:t>
      </w:r>
      <w:r>
        <w:t xml:space="preserve"> </w:t>
      </w:r>
      <w:r w:rsidRPr="00F34CA3">
        <w:t>category (e.g., LED a-type lamps) for the distributors that participated in both years (identified in step 1)</w:t>
      </w:r>
      <w:r>
        <w:t>.</w:t>
      </w:r>
    </w:p>
    <w:p w14:paraId="3E3A76F4" w14:textId="2D5581C5" w:rsidR="00BE3BFD" w:rsidRPr="00F34CA3" w:rsidRDefault="00BE3BFD">
      <w:pPr>
        <w:pStyle w:val="ListNumber"/>
        <w:numPr>
          <w:ilvl w:val="0"/>
          <w:numId w:val="6"/>
        </w:numPr>
      </w:pPr>
      <w:r w:rsidRPr="00F34CA3">
        <w:lastRenderedPageBreak/>
        <w:t>Apply the percentage change calculated in step 2 to each nonparticipating distributor’s previous</w:t>
      </w:r>
      <w:r>
        <w:t xml:space="preserve"> </w:t>
      </w:r>
      <w:r w:rsidRPr="00F34CA3">
        <w:t>year sales within each technology and category</w:t>
      </w:r>
      <w:r>
        <w:t>.</w:t>
      </w:r>
    </w:p>
    <w:p w14:paraId="63F24A6D" w14:textId="736FB3B6" w:rsidR="00BE3BFD" w:rsidRDefault="00BE3BFD" w:rsidP="00BE3BFD">
      <w:pPr>
        <w:pStyle w:val="BodyText"/>
      </w:pPr>
      <w:r w:rsidRPr="00F34CA3">
        <w:t xml:space="preserve">After </w:t>
      </w:r>
      <w:r>
        <w:t xml:space="preserve">extrapolating </w:t>
      </w:r>
      <w:r w:rsidRPr="00F34CA3">
        <w:t>each nonparticipating distributor’s technology</w:t>
      </w:r>
      <w:r>
        <w:t xml:space="preserve"> </w:t>
      </w:r>
      <w:r w:rsidRPr="00F34CA3">
        <w:t>category sales, the research team applied each distributor’s subcategory breakdown to the extrapolated numbers using the distributor’s subcategory proportions from the previous year.</w:t>
      </w:r>
      <w:r w:rsidRPr="00F34CA3">
        <w:rPr>
          <w:rStyle w:val="FootnoteReference"/>
        </w:rPr>
        <w:footnoteReference w:id="7"/>
      </w:r>
      <w:r w:rsidRPr="00F34CA3">
        <w:t xml:space="preserve"> </w:t>
      </w:r>
    </w:p>
    <w:p w14:paraId="3EF3CB13" w14:textId="77777777" w:rsidR="008E5704" w:rsidRDefault="008E5704" w:rsidP="008E5704">
      <w:pPr>
        <w:pStyle w:val="Heading2"/>
      </w:pPr>
      <w:r>
        <w:t>Strengths and Weaknesses of Extrapolation Methodology</w:t>
      </w:r>
    </w:p>
    <w:p w14:paraId="29C27D48" w14:textId="2A17C77A" w:rsidR="008E5704" w:rsidRPr="00F34CA3" w:rsidRDefault="008E5704" w:rsidP="008E5704">
      <w:pPr>
        <w:pStyle w:val="BodyText"/>
      </w:pPr>
      <w:r w:rsidRPr="00F34CA3">
        <w:t>The</w:t>
      </w:r>
      <w:r w:rsidR="0021306D">
        <w:t xml:space="preserve">re is </w:t>
      </w:r>
      <w:r w:rsidRPr="00F34CA3">
        <w:t>one main strength of the extrapolation process:</w:t>
      </w:r>
      <w:r>
        <w:rPr>
          <w:b/>
          <w:bCs/>
        </w:rPr>
        <w:t xml:space="preserve"> u</w:t>
      </w:r>
      <w:r w:rsidRPr="00F34CA3">
        <w:rPr>
          <w:b/>
          <w:bCs/>
        </w:rPr>
        <w:t>sing historical data provides a more comprehensive and representative view of the market, regardless of participation.</w:t>
      </w:r>
      <w:r w:rsidRPr="00F34CA3">
        <w:t xml:space="preserve"> </w:t>
      </w:r>
      <w:r w:rsidR="0021306D">
        <w:t>E</w:t>
      </w:r>
      <w:r w:rsidRPr="00F34CA3">
        <w:t>very year, the data</w:t>
      </w:r>
      <w:r w:rsidR="0021306D">
        <w:t xml:space="preserve"> </w:t>
      </w:r>
      <w:r w:rsidRPr="00F34CA3">
        <w:t xml:space="preserve">set comprises collected data from participating distributors </w:t>
      </w:r>
      <w:r w:rsidR="0021306D">
        <w:t>and</w:t>
      </w:r>
      <w:r w:rsidRPr="00F34CA3">
        <w:t xml:space="preserve"> extrapolated data from previous participants. This provides </w:t>
      </w:r>
      <w:r>
        <w:t>the research team</w:t>
      </w:r>
      <w:r w:rsidRPr="00F34CA3">
        <w:t xml:space="preserve"> with a more comprehensive and representative data</w:t>
      </w:r>
      <w:r w:rsidR="0021306D">
        <w:t xml:space="preserve"> </w:t>
      </w:r>
      <w:r w:rsidRPr="00F34CA3">
        <w:t>set than only including participant data.</w:t>
      </w:r>
    </w:p>
    <w:p w14:paraId="254D03C8" w14:textId="33BC666A" w:rsidR="008E5704" w:rsidRPr="00F34CA3" w:rsidRDefault="008E5704" w:rsidP="008E5704">
      <w:pPr>
        <w:pStyle w:val="BodyText"/>
      </w:pPr>
      <w:r>
        <w:t>The research team</w:t>
      </w:r>
      <w:r w:rsidRPr="00F34CA3">
        <w:t xml:space="preserve"> leverage</w:t>
      </w:r>
      <w:r>
        <w:t>d</w:t>
      </w:r>
      <w:r w:rsidRPr="00F34CA3">
        <w:t xml:space="preserve"> past information to identify what products certain companies sell and estimate how much they sell within certain market segments. Over the course of the study, </w:t>
      </w:r>
      <w:r>
        <w:t>the research team</w:t>
      </w:r>
      <w:r w:rsidRPr="00F34CA3">
        <w:t xml:space="preserve"> collected sales data from 4</w:t>
      </w:r>
      <w:r w:rsidR="00A0726A">
        <w:t>8</w:t>
      </w:r>
      <w:r w:rsidRPr="00F34CA3">
        <w:t xml:space="preserve"> distributors. Of those, 24 are consistent participants with no extrapolated data in the 202</w:t>
      </w:r>
      <w:r w:rsidR="00A0726A">
        <w:t>2</w:t>
      </w:r>
      <w:r w:rsidRPr="00F34CA3">
        <w:t xml:space="preserve"> data</w:t>
      </w:r>
      <w:r w:rsidR="0021306D">
        <w:t xml:space="preserve"> </w:t>
      </w:r>
      <w:r w:rsidRPr="00F34CA3">
        <w:t>set (5</w:t>
      </w:r>
      <w:r w:rsidR="00A0726A">
        <w:t>0</w:t>
      </w:r>
      <w:r w:rsidRPr="00F34CA3">
        <w:t xml:space="preserve">% of participants). For the other </w:t>
      </w:r>
      <w:r w:rsidR="00A0726A">
        <w:t>50</w:t>
      </w:r>
      <w:r w:rsidRPr="00F34CA3">
        <w:t xml:space="preserve">%, extrapolation leverages current market trends and distributors’ historical data to predict sales for nonparticipants. This allows </w:t>
      </w:r>
      <w:r>
        <w:t>the research team</w:t>
      </w:r>
      <w:r w:rsidRPr="00F34CA3">
        <w:t xml:space="preserve"> to leverage the best available information to estimate market sales in each study year. The basic assumption is that the historical market share for nonparticipants will continue unless new evidence suggests otherwise.</w:t>
      </w:r>
    </w:p>
    <w:p w14:paraId="1696D438" w14:textId="14733820" w:rsidR="008E5704" w:rsidRPr="00F34CA3" w:rsidRDefault="008E5704" w:rsidP="008E5704">
      <w:pPr>
        <w:pStyle w:val="BodyText"/>
      </w:pPr>
      <w:r>
        <w:t>F</w:t>
      </w:r>
      <w:r w:rsidRPr="00F34CA3">
        <w:t>ull</w:t>
      </w:r>
      <w:r>
        <w:t>-line</w:t>
      </w:r>
      <w:r w:rsidRPr="00F34CA3">
        <w:t xml:space="preserve"> distributors ha</w:t>
      </w:r>
      <w:r>
        <w:t>ve</w:t>
      </w:r>
      <w:r w:rsidRPr="00F34CA3">
        <w:t xml:space="preserve"> decreased</w:t>
      </w:r>
      <w:r w:rsidR="0021306D">
        <w:t>,</w:t>
      </w:r>
      <w:r w:rsidRPr="00F34CA3">
        <w:t xml:space="preserve"> and </w:t>
      </w:r>
      <w:r>
        <w:t>l</w:t>
      </w:r>
      <w:r w:rsidRPr="00F34CA3">
        <w:t xml:space="preserve">ighting </w:t>
      </w:r>
      <w:r>
        <w:t>c</w:t>
      </w:r>
      <w:r w:rsidRPr="00F34CA3">
        <w:t>onsulting distributor participation ha</w:t>
      </w:r>
      <w:r>
        <w:t>ve</w:t>
      </w:r>
      <w:r w:rsidRPr="00F34CA3">
        <w:t xml:space="preserve"> increased as a percentage of participants, </w:t>
      </w:r>
      <w:r>
        <w:t xml:space="preserve">but </w:t>
      </w:r>
      <w:r w:rsidRPr="00F34CA3">
        <w:t xml:space="preserve">the extrapolation methodology allows </w:t>
      </w:r>
      <w:r>
        <w:t>the research team</w:t>
      </w:r>
      <w:r w:rsidRPr="00F34CA3">
        <w:t xml:space="preserve"> to represent a larger percentage of </w:t>
      </w:r>
      <w:r>
        <w:t>f</w:t>
      </w:r>
      <w:r w:rsidRPr="00F34CA3">
        <w:t>ull</w:t>
      </w:r>
      <w:r>
        <w:t>-line</w:t>
      </w:r>
      <w:r w:rsidRPr="00F34CA3">
        <w:t xml:space="preserve"> distributor sales in the final extrapolated data</w:t>
      </w:r>
      <w:r w:rsidR="0021306D">
        <w:t xml:space="preserve"> </w:t>
      </w:r>
      <w:r w:rsidRPr="00F34CA3">
        <w:t>set than what could be represented without extrapolated data.</w:t>
      </w:r>
    </w:p>
    <w:p w14:paraId="3358238A" w14:textId="7B846DCF" w:rsidR="008E5704" w:rsidRPr="00F34CA3" w:rsidRDefault="0021306D" w:rsidP="008E5704">
      <w:pPr>
        <w:pStyle w:val="BodyText"/>
      </w:pPr>
      <w:r>
        <w:t>O</w:t>
      </w:r>
      <w:r w:rsidR="008E5704" w:rsidRPr="00F34CA3">
        <w:t>ne main weakness of the extrapolation process</w:t>
      </w:r>
      <w:r>
        <w:t xml:space="preserve"> is that it</w:t>
      </w:r>
      <w:r>
        <w:rPr>
          <w:b/>
        </w:rPr>
        <w:t xml:space="preserve"> </w:t>
      </w:r>
      <w:r w:rsidR="008E5704" w:rsidRPr="00F34CA3">
        <w:rPr>
          <w:b/>
        </w:rPr>
        <w:t>introduces uncertainty.</w:t>
      </w:r>
      <w:r w:rsidR="008E5704" w:rsidRPr="00F34CA3">
        <w:t xml:space="preserve"> The extrapolation process applies the market’s sales trend for distributors who did not participate. As a result, </w:t>
      </w:r>
      <w:r w:rsidR="008E5704">
        <w:t>the research team assume</w:t>
      </w:r>
      <w:r w:rsidR="00236CB0">
        <w:t>s</w:t>
      </w:r>
      <w:r w:rsidR="008E5704">
        <w:t xml:space="preserve"> that </w:t>
      </w:r>
      <w:r w:rsidR="008E5704" w:rsidRPr="00F34CA3">
        <w:t xml:space="preserve">nonparticipating distributors possess the same sales trends and patterns as the rest of the market. The strategy is susceptible to inaccurate representations for specific distributors whose sales may differ from the overall market. </w:t>
      </w:r>
      <w:r w:rsidR="00A757B5">
        <w:t xml:space="preserve">Additionally, the assumption that each distributor’s subcategory mix remains stable over time could distort the extrapolated mix of subcategories if incorrect. </w:t>
      </w:r>
      <w:r w:rsidR="008E5704" w:rsidRPr="00604260">
        <w:rPr>
          <w:b/>
          <w:bCs/>
        </w:rPr>
        <w:t xml:space="preserve">However, where possible, the research team mitigates this weakness by applying adjustments based on distributor-reported trends. </w:t>
      </w:r>
    </w:p>
    <w:p w14:paraId="7F04AF0F" w14:textId="71CFF17C" w:rsidR="008E5704" w:rsidRPr="008E5704" w:rsidRDefault="008E5704" w:rsidP="00BE3BFD">
      <w:pPr>
        <w:pStyle w:val="BodyText"/>
      </w:pPr>
      <w:r w:rsidRPr="00F34CA3">
        <w:lastRenderedPageBreak/>
        <w:t xml:space="preserve">To better quantify uncertainty resulting from the extrapolation process, the research team </w:t>
      </w:r>
      <w:r>
        <w:t>applied</w:t>
      </w:r>
      <w:r w:rsidRPr="00F34CA3">
        <w:t xml:space="preserve"> an uncertainty analysis to the extrapolated sales quantities in 2021.</w:t>
      </w:r>
      <w:r w:rsidRPr="00F34CA3">
        <w:rPr>
          <w:rStyle w:val="FootnoteReference"/>
        </w:rPr>
        <w:footnoteReference w:id="8"/>
      </w:r>
      <w:r w:rsidRPr="00F34CA3">
        <w:t xml:space="preserve"> The uncertainty analysis found that </w:t>
      </w:r>
      <w:r>
        <w:t>though</w:t>
      </w:r>
      <w:r w:rsidRPr="00F34CA3">
        <w:t xml:space="preserve"> the extrapolation methodology used does introduce some margin for error and uncertainty in the final estimates of annual lamp sales, the error introduced appears small. The overall margin of error for each technology ranges from 2% to 22% when u</w:t>
      </w:r>
      <w:r>
        <w:t>s</w:t>
      </w:r>
      <w:r w:rsidRPr="00F34CA3">
        <w:t xml:space="preserve">ing a 90% confidence interval. The margin for error due to extrapolation is small enough to reinforce </w:t>
      </w:r>
      <w:r w:rsidR="00236CB0">
        <w:t>an</w:t>
      </w:r>
      <w:r w:rsidRPr="00F34CA3">
        <w:t xml:space="preserve"> understanding of directional trends (i.e., if a lighting technology is generally increasing or decreasing and at what magnitude) within most individual lighting technologies. Although uncertainty related to extrapolation will naturally increase over time as the percentage of extrapolated data increases, the results of the uncertainty analysis confirm a high degree of confidence in the extrapolated data.</w:t>
      </w:r>
    </w:p>
    <w:p w14:paraId="4E19BBB5" w14:textId="26DFA35E" w:rsidR="00BE3BFD" w:rsidRDefault="00BE3BFD" w:rsidP="009D7542">
      <w:pPr>
        <w:pStyle w:val="Heading2"/>
      </w:pPr>
      <w:r>
        <w:t>Extrapolation Findings</w:t>
      </w:r>
    </w:p>
    <w:p w14:paraId="00B1B350" w14:textId="652FE1F6" w:rsidR="00BE3BFD" w:rsidRDefault="00BE3BFD" w:rsidP="00BE3BFD">
      <w:pPr>
        <w:pStyle w:val="BodyText"/>
      </w:pPr>
      <w:r w:rsidRPr="00F34CA3">
        <w:fldChar w:fldCharType="begin"/>
      </w:r>
      <w:r w:rsidRPr="00F34CA3">
        <w:instrText xml:space="preserve"> REF _Ref482978962 \h </w:instrText>
      </w:r>
      <w:r>
        <w:instrText xml:space="preserve"> \* MERGEFORMAT </w:instrText>
      </w:r>
      <w:r w:rsidRPr="00F34CA3">
        <w:fldChar w:fldCharType="separate"/>
      </w:r>
      <w:r w:rsidR="00C02B88" w:rsidRPr="00F34CA3">
        <w:t xml:space="preserve">Table </w:t>
      </w:r>
      <w:r w:rsidR="00C02B88">
        <w:t>3</w:t>
      </w:r>
      <w:r w:rsidRPr="00F34CA3">
        <w:fldChar w:fldCharType="end"/>
      </w:r>
      <w:r w:rsidRPr="00F34CA3">
        <w:t xml:space="preserve"> shows the percentage of extrapolated data by year and technology from 2013 through 202</w:t>
      </w:r>
      <w:r w:rsidR="006A7898">
        <w:t>2</w:t>
      </w:r>
      <w:r w:rsidRPr="00F34CA3">
        <w:t xml:space="preserve">. The overall percentage of extrapolated data increases year over year. With each additional distributor that drops out of the study, their data requires extrapolation. Therefore, the cumulative amount of extrapolated data increases. Decreases in overall extrapolated data can occur if a distributor participates again after a period of nonparticipation. </w:t>
      </w:r>
    </w:p>
    <w:p w14:paraId="4AC2CC5E" w14:textId="06B4ADF1" w:rsidR="00A03216" w:rsidRDefault="00A03216" w:rsidP="00A03216">
      <w:pPr>
        <w:pStyle w:val="BodyText"/>
      </w:pPr>
      <w:r>
        <w:t xml:space="preserve">Participation changes in 2021 and 2023 resulted in higher levels of extrapolation in 2020, 2021, and 2022 sales data than in previous years. </w:t>
      </w:r>
      <w:r w:rsidR="003914D9">
        <w:t>P</w:t>
      </w:r>
      <w:r>
        <w:t xml:space="preserve">articipation changes </w:t>
      </w:r>
      <w:r w:rsidR="003914D9">
        <w:t xml:space="preserve">in 2021 </w:t>
      </w:r>
      <w:r>
        <w:t xml:space="preserve">impacted CFLs, halogens, </w:t>
      </w:r>
      <w:r w:rsidR="003914D9">
        <w:t>high</w:t>
      </w:r>
      <w:r w:rsidR="005A7D57">
        <w:t>-</w:t>
      </w:r>
      <w:r w:rsidR="003914D9">
        <w:t>intensity discharge (</w:t>
      </w:r>
      <w:r>
        <w:t>HID</w:t>
      </w:r>
      <w:r w:rsidR="003914D9">
        <w:t>) lamp</w:t>
      </w:r>
      <w:r>
        <w:t xml:space="preserve">s, and incandescents most directly. </w:t>
      </w:r>
      <w:r w:rsidR="00236CB0">
        <w:t>P</w:t>
      </w:r>
      <w:r>
        <w:t>articipation changes</w:t>
      </w:r>
      <w:r w:rsidR="00236CB0">
        <w:t xml:space="preserve"> in 2023</w:t>
      </w:r>
      <w:r>
        <w:t xml:space="preserve"> impacted all lighting technologies, but HIDs and incandescents were most impacted. The </w:t>
      </w:r>
      <w:r w:rsidR="00236CB0">
        <w:t xml:space="preserve">research </w:t>
      </w:r>
      <w:r>
        <w:t>team will conduct outreach specifically to address these changes in participation in 2024.</w:t>
      </w:r>
      <w:r w:rsidR="00610ABA">
        <w:t xml:space="preserve"> While year</w:t>
      </w:r>
      <w:r w:rsidR="00236CB0">
        <w:t>-</w:t>
      </w:r>
      <w:r w:rsidR="00610ABA">
        <w:t>over</w:t>
      </w:r>
      <w:r w:rsidR="00236CB0">
        <w:t>-</w:t>
      </w:r>
      <w:r w:rsidR="00610ABA">
        <w:t>year extrapolation percentages are increasing, the total extrapolated data percentage in all years remains relatively low for all product categories.</w:t>
      </w:r>
    </w:p>
    <w:p w14:paraId="6952DEDF" w14:textId="113FB79D" w:rsidR="00BE3BFD" w:rsidRPr="00F34CA3" w:rsidRDefault="00BE3BFD" w:rsidP="00BE3BFD">
      <w:pPr>
        <w:pStyle w:val="BodyText"/>
      </w:pPr>
      <w:r w:rsidRPr="00F34CA3">
        <w:t xml:space="preserve">The extrapolation percentage for linear fluorescents increased sharply between 2020 and 2021. NEEA’s </w:t>
      </w:r>
      <w:bookmarkStart w:id="12" w:name="_Hlk106268437"/>
      <w:r w:rsidRPr="00F34CA3">
        <w:t xml:space="preserve">Reduced Wattage Lamp Replacement (RWLR) </w:t>
      </w:r>
      <w:bookmarkEnd w:id="12"/>
      <w:r w:rsidRPr="00F34CA3">
        <w:t>initiative collected sales data on linear fluorescent and TLED lamps for all participating distributors through 2020. NEEA has ceased RWLR data collection, so 2020 was the last year of this study that included RWLR data. Several RWLR participants also participated in this study (i.e., submitted sales data for other technologies), but for some distributors</w:t>
      </w:r>
      <w:r w:rsidR="00236CB0">
        <w:t>,</w:t>
      </w:r>
      <w:r w:rsidRPr="00F34CA3">
        <w:t xml:space="preserve"> </w:t>
      </w:r>
      <w:r>
        <w:t>the research team</w:t>
      </w:r>
      <w:r w:rsidRPr="00F34CA3">
        <w:t xml:space="preserve"> only received the RWLR linear product (linear fluorescent and TLED) data.</w:t>
      </w:r>
      <w:r w:rsidRPr="00F34CA3">
        <w:rPr>
          <w:rStyle w:val="FootnoteReference"/>
        </w:rPr>
        <w:footnoteReference w:id="9"/>
      </w:r>
      <w:r w:rsidRPr="00F34CA3">
        <w:t xml:space="preserve"> In 2021, eight distributors for wh</w:t>
      </w:r>
      <w:r>
        <w:t>ich</w:t>
      </w:r>
      <w:r w:rsidRPr="00F34CA3">
        <w:t xml:space="preserve"> </w:t>
      </w:r>
      <w:r>
        <w:t>the research team</w:t>
      </w:r>
      <w:r w:rsidRPr="00F34CA3">
        <w:t xml:space="preserve"> had RWLR data did not participate in the data collection study. </w:t>
      </w:r>
      <w:r>
        <w:t>The research team</w:t>
      </w:r>
      <w:r w:rsidRPr="00F34CA3">
        <w:t xml:space="preserve"> </w:t>
      </w:r>
      <w:r w:rsidRPr="00F34CA3">
        <w:lastRenderedPageBreak/>
        <w:t>therefore extrapolated these eight distributors’ sales of linear products in 2021 for the first time, resulting in an increase in the extrapolated percentage in this technology category.</w:t>
      </w:r>
      <w:r w:rsidRPr="00F34CA3">
        <w:rPr>
          <w:rStyle w:val="FootnoteReference"/>
        </w:rPr>
        <w:footnoteReference w:id="10"/>
      </w:r>
      <w:r w:rsidRPr="00F34CA3">
        <w:t xml:space="preserve"> </w:t>
      </w:r>
    </w:p>
    <w:p w14:paraId="074E4447" w14:textId="3D8A9F93" w:rsidR="00BE3BFD" w:rsidRPr="00F34CA3" w:rsidRDefault="00BE3BFD" w:rsidP="00BE3BFD">
      <w:pPr>
        <w:pStyle w:val="Caption"/>
      </w:pPr>
      <w:bookmarkStart w:id="13" w:name="_Ref482978962"/>
      <w:r w:rsidRPr="00F34CA3">
        <w:t xml:space="preserve">Table </w:t>
      </w:r>
      <w:fldSimple w:instr=" SEQ Table \* ARABIC ">
        <w:r w:rsidR="00C02B88">
          <w:rPr>
            <w:noProof/>
          </w:rPr>
          <w:t>3</w:t>
        </w:r>
      </w:fldSimple>
      <w:bookmarkEnd w:id="13"/>
      <w:r w:rsidRPr="00F34CA3">
        <w:t>: Percentage of Data Extrapolated by Year and Technology</w:t>
      </w:r>
    </w:p>
    <w:tbl>
      <w:tblPr>
        <w:tblStyle w:val="BPATable-classic"/>
        <w:tblW w:w="9976" w:type="dxa"/>
        <w:tblLayout w:type="fixed"/>
        <w:tblLook w:val="04A0" w:firstRow="1" w:lastRow="0" w:firstColumn="1" w:lastColumn="0" w:noHBand="0" w:noVBand="1"/>
      </w:tblPr>
      <w:tblGrid>
        <w:gridCol w:w="1854"/>
        <w:gridCol w:w="738"/>
        <w:gridCol w:w="738"/>
        <w:gridCol w:w="739"/>
        <w:gridCol w:w="738"/>
        <w:gridCol w:w="738"/>
        <w:gridCol w:w="739"/>
        <w:gridCol w:w="738"/>
        <w:gridCol w:w="738"/>
        <w:gridCol w:w="739"/>
        <w:gridCol w:w="738"/>
        <w:gridCol w:w="739"/>
      </w:tblGrid>
      <w:tr w:rsidR="00610ABA" w:rsidRPr="00F34CA3" w14:paraId="3AC756D6" w14:textId="77777777" w:rsidTr="00610ABA">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609E1D40" w14:textId="77777777" w:rsidR="00610ABA" w:rsidRPr="00843C34" w:rsidRDefault="00610ABA" w:rsidP="00E91E47">
            <w:pPr>
              <w:keepNext/>
              <w:keepLines/>
              <w:spacing w:after="40"/>
              <w:jc w:val="center"/>
              <w:rPr>
                <w:rFonts w:eastAsia="Times New Roman" w:cs="Segoe UI"/>
                <w:szCs w:val="20"/>
              </w:rPr>
            </w:pPr>
            <w:r w:rsidRPr="00843C34">
              <w:t>Lighting Technology Type</w:t>
            </w:r>
          </w:p>
        </w:tc>
        <w:tc>
          <w:tcPr>
            <w:tcW w:w="738" w:type="dxa"/>
            <w:noWrap/>
            <w:hideMark/>
          </w:tcPr>
          <w:p w14:paraId="2CD508B4"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2013</w:t>
            </w:r>
          </w:p>
        </w:tc>
        <w:tc>
          <w:tcPr>
            <w:tcW w:w="738" w:type="dxa"/>
            <w:noWrap/>
            <w:hideMark/>
          </w:tcPr>
          <w:p w14:paraId="03BB9CD0"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2014</w:t>
            </w:r>
          </w:p>
        </w:tc>
        <w:tc>
          <w:tcPr>
            <w:tcW w:w="739" w:type="dxa"/>
            <w:noWrap/>
            <w:hideMark/>
          </w:tcPr>
          <w:p w14:paraId="4F7B8C9C"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2015</w:t>
            </w:r>
          </w:p>
        </w:tc>
        <w:tc>
          <w:tcPr>
            <w:tcW w:w="738" w:type="dxa"/>
            <w:noWrap/>
            <w:hideMark/>
          </w:tcPr>
          <w:p w14:paraId="51CE2D97"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2016</w:t>
            </w:r>
          </w:p>
        </w:tc>
        <w:tc>
          <w:tcPr>
            <w:tcW w:w="738" w:type="dxa"/>
          </w:tcPr>
          <w:p w14:paraId="6DB7C96D"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2017</w:t>
            </w:r>
          </w:p>
        </w:tc>
        <w:tc>
          <w:tcPr>
            <w:tcW w:w="739" w:type="dxa"/>
          </w:tcPr>
          <w:p w14:paraId="3EB7570E"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2018</w:t>
            </w:r>
          </w:p>
        </w:tc>
        <w:tc>
          <w:tcPr>
            <w:tcW w:w="738" w:type="dxa"/>
          </w:tcPr>
          <w:p w14:paraId="1A9382B0"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2019</w:t>
            </w:r>
          </w:p>
        </w:tc>
        <w:tc>
          <w:tcPr>
            <w:tcW w:w="738" w:type="dxa"/>
          </w:tcPr>
          <w:p w14:paraId="2809622C"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2020</w:t>
            </w:r>
          </w:p>
        </w:tc>
        <w:tc>
          <w:tcPr>
            <w:tcW w:w="739" w:type="dxa"/>
          </w:tcPr>
          <w:p w14:paraId="0B07E95C" w14:textId="77777777"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2021</w:t>
            </w:r>
          </w:p>
        </w:tc>
        <w:tc>
          <w:tcPr>
            <w:tcW w:w="738" w:type="dxa"/>
          </w:tcPr>
          <w:p w14:paraId="17137E1C" w14:textId="477267F4"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pPr>
            <w:r>
              <w:t>2022</w:t>
            </w:r>
          </w:p>
        </w:tc>
        <w:tc>
          <w:tcPr>
            <w:tcW w:w="739" w:type="dxa"/>
          </w:tcPr>
          <w:p w14:paraId="49902AD0" w14:textId="05688DC5" w:rsidR="00610ABA" w:rsidRPr="00843C34" w:rsidRDefault="00610ABA"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Times New Roman" w:cs="Segoe UI"/>
                <w:szCs w:val="20"/>
              </w:rPr>
            </w:pPr>
            <w:r w:rsidRPr="00843C34">
              <w:t>All Years</w:t>
            </w:r>
          </w:p>
        </w:tc>
      </w:tr>
      <w:tr w:rsidR="00610ABA" w:rsidRPr="00F34CA3" w14:paraId="480606D5"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0C5B3174" w14:textId="77777777" w:rsidR="00610ABA" w:rsidRPr="00F34CA3" w:rsidRDefault="00610ABA" w:rsidP="00E91E47">
            <w:pPr>
              <w:keepNext/>
              <w:keepLines/>
              <w:spacing w:after="40"/>
              <w:rPr>
                <w:sz w:val="22"/>
                <w:szCs w:val="24"/>
              </w:rPr>
            </w:pPr>
            <w:r w:rsidRPr="00F34CA3">
              <w:rPr>
                <w:color w:val="000000"/>
              </w:rPr>
              <w:t>CFL</w:t>
            </w:r>
          </w:p>
        </w:tc>
        <w:tc>
          <w:tcPr>
            <w:tcW w:w="738" w:type="dxa"/>
            <w:noWrap/>
            <w:hideMark/>
          </w:tcPr>
          <w:p w14:paraId="2184DD39"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40%</w:t>
            </w:r>
          </w:p>
        </w:tc>
        <w:tc>
          <w:tcPr>
            <w:tcW w:w="738" w:type="dxa"/>
            <w:noWrap/>
            <w:hideMark/>
          </w:tcPr>
          <w:p w14:paraId="0127A263"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26%</w:t>
            </w:r>
          </w:p>
        </w:tc>
        <w:tc>
          <w:tcPr>
            <w:tcW w:w="739" w:type="dxa"/>
            <w:noWrap/>
            <w:hideMark/>
          </w:tcPr>
          <w:p w14:paraId="688D58CC"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w:t>
            </w:r>
          </w:p>
        </w:tc>
        <w:tc>
          <w:tcPr>
            <w:tcW w:w="738" w:type="dxa"/>
            <w:noWrap/>
            <w:hideMark/>
          </w:tcPr>
          <w:p w14:paraId="11948A1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17%</w:t>
            </w:r>
          </w:p>
        </w:tc>
        <w:tc>
          <w:tcPr>
            <w:tcW w:w="738" w:type="dxa"/>
          </w:tcPr>
          <w:p w14:paraId="0A825C9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15%</w:t>
            </w:r>
          </w:p>
        </w:tc>
        <w:tc>
          <w:tcPr>
            <w:tcW w:w="739" w:type="dxa"/>
          </w:tcPr>
          <w:p w14:paraId="4626C43A"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17%</w:t>
            </w:r>
          </w:p>
        </w:tc>
        <w:tc>
          <w:tcPr>
            <w:tcW w:w="738" w:type="dxa"/>
          </w:tcPr>
          <w:p w14:paraId="5842C7D3"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18%</w:t>
            </w:r>
          </w:p>
        </w:tc>
        <w:tc>
          <w:tcPr>
            <w:tcW w:w="738" w:type="dxa"/>
          </w:tcPr>
          <w:p w14:paraId="14F8D2EE"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37%</w:t>
            </w:r>
          </w:p>
        </w:tc>
        <w:tc>
          <w:tcPr>
            <w:tcW w:w="739" w:type="dxa"/>
          </w:tcPr>
          <w:p w14:paraId="28C0AFCE"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41%</w:t>
            </w:r>
          </w:p>
        </w:tc>
        <w:tc>
          <w:tcPr>
            <w:tcW w:w="738" w:type="dxa"/>
          </w:tcPr>
          <w:p w14:paraId="76C8CEE7" w14:textId="257D55FC"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739" w:type="dxa"/>
          </w:tcPr>
          <w:p w14:paraId="03254649" w14:textId="68BB8F23"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Pr>
                <w:color w:val="000000"/>
              </w:rPr>
              <w:t>24</w:t>
            </w:r>
            <w:r w:rsidRPr="00F34CA3">
              <w:rPr>
                <w:color w:val="000000"/>
              </w:rPr>
              <w:t>%</w:t>
            </w:r>
          </w:p>
        </w:tc>
      </w:tr>
      <w:tr w:rsidR="00610ABA" w:rsidRPr="00F34CA3" w14:paraId="4390EB36"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tcPr>
          <w:p w14:paraId="2A40E895" w14:textId="77777777" w:rsidR="00610ABA" w:rsidRPr="00F34CA3" w:rsidRDefault="00610ABA" w:rsidP="00E91E47">
            <w:pPr>
              <w:keepNext/>
              <w:keepLines/>
              <w:spacing w:after="40"/>
              <w:rPr>
                <w:color w:val="000000"/>
              </w:rPr>
            </w:pPr>
            <w:r w:rsidRPr="00F34CA3">
              <w:rPr>
                <w:color w:val="000000"/>
              </w:rPr>
              <w:t>HID</w:t>
            </w:r>
          </w:p>
        </w:tc>
        <w:tc>
          <w:tcPr>
            <w:tcW w:w="738" w:type="dxa"/>
            <w:noWrap/>
          </w:tcPr>
          <w:p w14:paraId="17276663"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7%</w:t>
            </w:r>
          </w:p>
        </w:tc>
        <w:tc>
          <w:tcPr>
            <w:tcW w:w="738" w:type="dxa"/>
            <w:noWrap/>
          </w:tcPr>
          <w:p w14:paraId="5D8F97AA"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4%</w:t>
            </w:r>
          </w:p>
        </w:tc>
        <w:tc>
          <w:tcPr>
            <w:tcW w:w="739" w:type="dxa"/>
            <w:noWrap/>
          </w:tcPr>
          <w:p w14:paraId="68BA3B55"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1%</w:t>
            </w:r>
          </w:p>
        </w:tc>
        <w:tc>
          <w:tcPr>
            <w:tcW w:w="738" w:type="dxa"/>
            <w:noWrap/>
          </w:tcPr>
          <w:p w14:paraId="4B831F45"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8%</w:t>
            </w:r>
          </w:p>
        </w:tc>
        <w:tc>
          <w:tcPr>
            <w:tcW w:w="738" w:type="dxa"/>
          </w:tcPr>
          <w:p w14:paraId="0053696B"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10%</w:t>
            </w:r>
          </w:p>
        </w:tc>
        <w:tc>
          <w:tcPr>
            <w:tcW w:w="739" w:type="dxa"/>
          </w:tcPr>
          <w:p w14:paraId="1AFFEF10"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11%</w:t>
            </w:r>
          </w:p>
        </w:tc>
        <w:tc>
          <w:tcPr>
            <w:tcW w:w="738" w:type="dxa"/>
          </w:tcPr>
          <w:p w14:paraId="6782ED56"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13%</w:t>
            </w:r>
          </w:p>
        </w:tc>
        <w:tc>
          <w:tcPr>
            <w:tcW w:w="738" w:type="dxa"/>
          </w:tcPr>
          <w:p w14:paraId="24D7F122"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24%</w:t>
            </w:r>
          </w:p>
        </w:tc>
        <w:tc>
          <w:tcPr>
            <w:tcW w:w="739" w:type="dxa"/>
          </w:tcPr>
          <w:p w14:paraId="0B4A669E"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sidRPr="00F34CA3">
              <w:rPr>
                <w:color w:val="000000"/>
              </w:rPr>
              <w:t>27%</w:t>
            </w:r>
          </w:p>
        </w:tc>
        <w:tc>
          <w:tcPr>
            <w:tcW w:w="738" w:type="dxa"/>
          </w:tcPr>
          <w:p w14:paraId="441E4929" w14:textId="68D73802"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74%</w:t>
            </w:r>
          </w:p>
        </w:tc>
        <w:tc>
          <w:tcPr>
            <w:tcW w:w="739" w:type="dxa"/>
          </w:tcPr>
          <w:p w14:paraId="404F76E4" w14:textId="5D33C5E2"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r w:rsidRPr="00F34CA3">
              <w:rPr>
                <w:color w:val="000000"/>
              </w:rPr>
              <w:t>%</w:t>
            </w:r>
          </w:p>
        </w:tc>
      </w:tr>
      <w:tr w:rsidR="00610ABA" w:rsidRPr="00F34CA3" w14:paraId="7336ADF5"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299C3D0D" w14:textId="77777777" w:rsidR="00610ABA" w:rsidRPr="00F34CA3" w:rsidRDefault="00610ABA" w:rsidP="00E91E47">
            <w:pPr>
              <w:keepNext/>
              <w:keepLines/>
              <w:spacing w:after="40"/>
              <w:rPr>
                <w:sz w:val="22"/>
                <w:szCs w:val="24"/>
              </w:rPr>
            </w:pPr>
            <w:r w:rsidRPr="00F34CA3">
              <w:rPr>
                <w:color w:val="000000"/>
              </w:rPr>
              <w:t>Halogen</w:t>
            </w:r>
          </w:p>
        </w:tc>
        <w:tc>
          <w:tcPr>
            <w:tcW w:w="738" w:type="dxa"/>
            <w:noWrap/>
            <w:hideMark/>
          </w:tcPr>
          <w:p w14:paraId="69DEEBAB"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24%</w:t>
            </w:r>
          </w:p>
        </w:tc>
        <w:tc>
          <w:tcPr>
            <w:tcW w:w="738" w:type="dxa"/>
            <w:noWrap/>
            <w:hideMark/>
          </w:tcPr>
          <w:p w14:paraId="2803F80F"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13%</w:t>
            </w:r>
          </w:p>
        </w:tc>
        <w:tc>
          <w:tcPr>
            <w:tcW w:w="739" w:type="dxa"/>
            <w:noWrap/>
            <w:hideMark/>
          </w:tcPr>
          <w:p w14:paraId="3B50115F"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w:t>
            </w:r>
          </w:p>
        </w:tc>
        <w:tc>
          <w:tcPr>
            <w:tcW w:w="738" w:type="dxa"/>
            <w:noWrap/>
            <w:hideMark/>
          </w:tcPr>
          <w:p w14:paraId="09B72CA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11%</w:t>
            </w:r>
          </w:p>
        </w:tc>
        <w:tc>
          <w:tcPr>
            <w:tcW w:w="738" w:type="dxa"/>
          </w:tcPr>
          <w:p w14:paraId="5338AC8D"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15%</w:t>
            </w:r>
          </w:p>
        </w:tc>
        <w:tc>
          <w:tcPr>
            <w:tcW w:w="739" w:type="dxa"/>
          </w:tcPr>
          <w:p w14:paraId="40408BAB"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23%</w:t>
            </w:r>
          </w:p>
        </w:tc>
        <w:tc>
          <w:tcPr>
            <w:tcW w:w="738" w:type="dxa"/>
          </w:tcPr>
          <w:p w14:paraId="073AEEEC"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24%</w:t>
            </w:r>
          </w:p>
        </w:tc>
        <w:tc>
          <w:tcPr>
            <w:tcW w:w="738" w:type="dxa"/>
          </w:tcPr>
          <w:p w14:paraId="7AEC985E"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34%</w:t>
            </w:r>
          </w:p>
        </w:tc>
        <w:tc>
          <w:tcPr>
            <w:tcW w:w="739" w:type="dxa"/>
          </w:tcPr>
          <w:p w14:paraId="619E36AC"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35%</w:t>
            </w:r>
          </w:p>
        </w:tc>
        <w:tc>
          <w:tcPr>
            <w:tcW w:w="738" w:type="dxa"/>
          </w:tcPr>
          <w:p w14:paraId="136C5E15" w14:textId="2DD2E5D4"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67%</w:t>
            </w:r>
          </w:p>
        </w:tc>
        <w:tc>
          <w:tcPr>
            <w:tcW w:w="739" w:type="dxa"/>
          </w:tcPr>
          <w:p w14:paraId="0DA44D50" w14:textId="291471A0"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Pr>
                <w:color w:val="000000"/>
              </w:rPr>
              <w:t>19</w:t>
            </w:r>
            <w:r w:rsidRPr="00F34CA3">
              <w:rPr>
                <w:color w:val="000000"/>
              </w:rPr>
              <w:t>%</w:t>
            </w:r>
          </w:p>
        </w:tc>
      </w:tr>
      <w:tr w:rsidR="00610ABA" w:rsidRPr="00F34CA3" w14:paraId="75A3746E"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13BC7D2D" w14:textId="77777777" w:rsidR="00610ABA" w:rsidRPr="00F34CA3" w:rsidRDefault="00610ABA" w:rsidP="00E91E47">
            <w:pPr>
              <w:keepNext/>
              <w:keepLines/>
              <w:spacing w:after="40"/>
              <w:rPr>
                <w:sz w:val="22"/>
                <w:szCs w:val="24"/>
              </w:rPr>
            </w:pPr>
            <w:r w:rsidRPr="00F34CA3">
              <w:rPr>
                <w:color w:val="000000"/>
              </w:rPr>
              <w:t>Incandescent</w:t>
            </w:r>
          </w:p>
        </w:tc>
        <w:tc>
          <w:tcPr>
            <w:tcW w:w="738" w:type="dxa"/>
            <w:noWrap/>
            <w:hideMark/>
          </w:tcPr>
          <w:p w14:paraId="411AF3DA"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30%</w:t>
            </w:r>
          </w:p>
        </w:tc>
        <w:tc>
          <w:tcPr>
            <w:tcW w:w="738" w:type="dxa"/>
            <w:noWrap/>
            <w:hideMark/>
          </w:tcPr>
          <w:p w14:paraId="4209B721"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20%</w:t>
            </w:r>
          </w:p>
        </w:tc>
        <w:tc>
          <w:tcPr>
            <w:tcW w:w="739" w:type="dxa"/>
            <w:noWrap/>
            <w:hideMark/>
          </w:tcPr>
          <w:p w14:paraId="09C34B0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6%</w:t>
            </w:r>
          </w:p>
        </w:tc>
        <w:tc>
          <w:tcPr>
            <w:tcW w:w="738" w:type="dxa"/>
            <w:noWrap/>
            <w:hideMark/>
          </w:tcPr>
          <w:p w14:paraId="2421FD72"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16%</w:t>
            </w:r>
          </w:p>
        </w:tc>
        <w:tc>
          <w:tcPr>
            <w:tcW w:w="738" w:type="dxa"/>
          </w:tcPr>
          <w:p w14:paraId="4704D734"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16%</w:t>
            </w:r>
          </w:p>
        </w:tc>
        <w:tc>
          <w:tcPr>
            <w:tcW w:w="739" w:type="dxa"/>
          </w:tcPr>
          <w:p w14:paraId="1FC0C919"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20%</w:t>
            </w:r>
          </w:p>
        </w:tc>
        <w:tc>
          <w:tcPr>
            <w:tcW w:w="738" w:type="dxa"/>
          </w:tcPr>
          <w:p w14:paraId="41EF8A71"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21%</w:t>
            </w:r>
          </w:p>
        </w:tc>
        <w:tc>
          <w:tcPr>
            <w:tcW w:w="738" w:type="dxa"/>
          </w:tcPr>
          <w:p w14:paraId="1D9EDA09"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36%</w:t>
            </w:r>
          </w:p>
        </w:tc>
        <w:tc>
          <w:tcPr>
            <w:tcW w:w="739" w:type="dxa"/>
          </w:tcPr>
          <w:p w14:paraId="721F3B98"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34%</w:t>
            </w:r>
          </w:p>
        </w:tc>
        <w:tc>
          <w:tcPr>
            <w:tcW w:w="738" w:type="dxa"/>
          </w:tcPr>
          <w:p w14:paraId="2D5F222A" w14:textId="16FCC406"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69%</w:t>
            </w:r>
          </w:p>
        </w:tc>
        <w:tc>
          <w:tcPr>
            <w:tcW w:w="739" w:type="dxa"/>
          </w:tcPr>
          <w:p w14:paraId="333E3C7E" w14:textId="103D1C51"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Pr>
                <w:color w:val="000000"/>
              </w:rPr>
              <w:t>22</w:t>
            </w:r>
            <w:r w:rsidRPr="00F34CA3">
              <w:rPr>
                <w:color w:val="000000"/>
              </w:rPr>
              <w:t>%</w:t>
            </w:r>
          </w:p>
        </w:tc>
      </w:tr>
      <w:tr w:rsidR="00610ABA" w:rsidRPr="00F34CA3" w14:paraId="02BF48D6"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1AB684D1" w14:textId="77777777" w:rsidR="00610ABA" w:rsidRPr="00F34CA3" w:rsidRDefault="00610ABA" w:rsidP="00E91E47">
            <w:pPr>
              <w:keepNext/>
              <w:keepLines/>
              <w:spacing w:after="40"/>
              <w:rPr>
                <w:sz w:val="22"/>
                <w:szCs w:val="24"/>
              </w:rPr>
            </w:pPr>
            <w:r w:rsidRPr="00F34CA3">
              <w:rPr>
                <w:color w:val="000000"/>
              </w:rPr>
              <w:t>LED</w:t>
            </w:r>
          </w:p>
        </w:tc>
        <w:tc>
          <w:tcPr>
            <w:tcW w:w="738" w:type="dxa"/>
            <w:noWrap/>
            <w:hideMark/>
          </w:tcPr>
          <w:p w14:paraId="67120C48"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22%</w:t>
            </w:r>
          </w:p>
        </w:tc>
        <w:tc>
          <w:tcPr>
            <w:tcW w:w="738" w:type="dxa"/>
            <w:noWrap/>
            <w:hideMark/>
          </w:tcPr>
          <w:p w14:paraId="3A6E1580"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13%</w:t>
            </w:r>
          </w:p>
        </w:tc>
        <w:tc>
          <w:tcPr>
            <w:tcW w:w="739" w:type="dxa"/>
            <w:noWrap/>
            <w:hideMark/>
          </w:tcPr>
          <w:p w14:paraId="2C3BA632"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13%</w:t>
            </w:r>
          </w:p>
        </w:tc>
        <w:tc>
          <w:tcPr>
            <w:tcW w:w="738" w:type="dxa"/>
            <w:noWrap/>
            <w:hideMark/>
          </w:tcPr>
          <w:p w14:paraId="076385B6"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18%</w:t>
            </w:r>
          </w:p>
        </w:tc>
        <w:tc>
          <w:tcPr>
            <w:tcW w:w="738" w:type="dxa"/>
          </w:tcPr>
          <w:p w14:paraId="100D5DC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22%</w:t>
            </w:r>
          </w:p>
        </w:tc>
        <w:tc>
          <w:tcPr>
            <w:tcW w:w="739" w:type="dxa"/>
          </w:tcPr>
          <w:p w14:paraId="6BD359C8"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23%</w:t>
            </w:r>
          </w:p>
        </w:tc>
        <w:tc>
          <w:tcPr>
            <w:tcW w:w="738" w:type="dxa"/>
          </w:tcPr>
          <w:p w14:paraId="26283A3B"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26%</w:t>
            </w:r>
          </w:p>
        </w:tc>
        <w:tc>
          <w:tcPr>
            <w:tcW w:w="738" w:type="dxa"/>
          </w:tcPr>
          <w:p w14:paraId="704EA48D"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37%</w:t>
            </w:r>
          </w:p>
        </w:tc>
        <w:tc>
          <w:tcPr>
            <w:tcW w:w="739" w:type="dxa"/>
          </w:tcPr>
          <w:p w14:paraId="140B9B21"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37%</w:t>
            </w:r>
          </w:p>
        </w:tc>
        <w:tc>
          <w:tcPr>
            <w:tcW w:w="738" w:type="dxa"/>
          </w:tcPr>
          <w:p w14:paraId="7EC53C7D" w14:textId="2790A242"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c>
          <w:tcPr>
            <w:tcW w:w="739" w:type="dxa"/>
          </w:tcPr>
          <w:p w14:paraId="1C4AF5AA" w14:textId="1F1F2238"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Pr>
                <w:color w:val="000000"/>
              </w:rPr>
              <w:t>33</w:t>
            </w:r>
            <w:r w:rsidRPr="00F34CA3">
              <w:rPr>
                <w:color w:val="000000"/>
              </w:rPr>
              <w:t>%</w:t>
            </w:r>
          </w:p>
        </w:tc>
      </w:tr>
      <w:tr w:rsidR="00610ABA" w:rsidRPr="00F34CA3" w14:paraId="6A141CBA"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7F59F78E" w14:textId="77777777" w:rsidR="00610ABA" w:rsidRPr="00F34CA3" w:rsidRDefault="00610ABA" w:rsidP="00E91E47">
            <w:pPr>
              <w:keepNext/>
              <w:keepLines/>
              <w:spacing w:after="40"/>
              <w:rPr>
                <w:sz w:val="22"/>
                <w:szCs w:val="24"/>
              </w:rPr>
            </w:pPr>
            <w:r w:rsidRPr="00F34CA3">
              <w:rPr>
                <w:color w:val="000000"/>
              </w:rPr>
              <w:t>Linear Fluorescent</w:t>
            </w:r>
          </w:p>
        </w:tc>
        <w:tc>
          <w:tcPr>
            <w:tcW w:w="738" w:type="dxa"/>
            <w:noWrap/>
            <w:hideMark/>
          </w:tcPr>
          <w:p w14:paraId="397AFD2C"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25%</w:t>
            </w:r>
          </w:p>
        </w:tc>
        <w:tc>
          <w:tcPr>
            <w:tcW w:w="738" w:type="dxa"/>
            <w:noWrap/>
            <w:hideMark/>
          </w:tcPr>
          <w:p w14:paraId="3E4F51D5"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5%</w:t>
            </w:r>
          </w:p>
        </w:tc>
        <w:tc>
          <w:tcPr>
            <w:tcW w:w="739" w:type="dxa"/>
            <w:noWrap/>
            <w:hideMark/>
          </w:tcPr>
          <w:p w14:paraId="040331D9"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7%</w:t>
            </w:r>
          </w:p>
        </w:tc>
        <w:tc>
          <w:tcPr>
            <w:tcW w:w="738" w:type="dxa"/>
            <w:noWrap/>
            <w:hideMark/>
          </w:tcPr>
          <w:p w14:paraId="099C00AA"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5%</w:t>
            </w:r>
          </w:p>
        </w:tc>
        <w:tc>
          <w:tcPr>
            <w:tcW w:w="738" w:type="dxa"/>
          </w:tcPr>
          <w:p w14:paraId="40D24164"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11%</w:t>
            </w:r>
          </w:p>
        </w:tc>
        <w:tc>
          <w:tcPr>
            <w:tcW w:w="739" w:type="dxa"/>
          </w:tcPr>
          <w:p w14:paraId="5D2365AE"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12%</w:t>
            </w:r>
          </w:p>
        </w:tc>
        <w:tc>
          <w:tcPr>
            <w:tcW w:w="738" w:type="dxa"/>
          </w:tcPr>
          <w:p w14:paraId="3200A193"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14%</w:t>
            </w:r>
          </w:p>
        </w:tc>
        <w:tc>
          <w:tcPr>
            <w:tcW w:w="738" w:type="dxa"/>
          </w:tcPr>
          <w:p w14:paraId="5D434451"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15%</w:t>
            </w:r>
          </w:p>
        </w:tc>
        <w:tc>
          <w:tcPr>
            <w:tcW w:w="739" w:type="dxa"/>
          </w:tcPr>
          <w:p w14:paraId="78A0AEF0"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45%</w:t>
            </w:r>
          </w:p>
        </w:tc>
        <w:tc>
          <w:tcPr>
            <w:tcW w:w="738" w:type="dxa"/>
          </w:tcPr>
          <w:p w14:paraId="14958F5F" w14:textId="0D13B8DB"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739" w:type="dxa"/>
          </w:tcPr>
          <w:p w14:paraId="47643362" w14:textId="2DE1065D"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Pr>
                <w:color w:val="000000"/>
              </w:rPr>
              <w:t>19</w:t>
            </w:r>
            <w:r w:rsidRPr="00F34CA3">
              <w:rPr>
                <w:color w:val="000000"/>
              </w:rPr>
              <w:t>%</w:t>
            </w:r>
          </w:p>
        </w:tc>
      </w:tr>
      <w:tr w:rsidR="00610ABA" w:rsidRPr="00F34CA3" w14:paraId="65A02B6D" w14:textId="77777777" w:rsidTr="00C50E5D">
        <w:trPr>
          <w:trHeight w:val="298"/>
        </w:trPr>
        <w:tc>
          <w:tcPr>
            <w:cnfStyle w:val="001000000000" w:firstRow="0" w:lastRow="0" w:firstColumn="1" w:lastColumn="0" w:oddVBand="0" w:evenVBand="0" w:oddHBand="0" w:evenHBand="0" w:firstRowFirstColumn="0" w:firstRowLastColumn="0" w:lastRowFirstColumn="0" w:lastRowLastColumn="0"/>
            <w:tcW w:w="1854" w:type="dxa"/>
            <w:noWrap/>
            <w:hideMark/>
          </w:tcPr>
          <w:p w14:paraId="209EFB84" w14:textId="77777777" w:rsidR="00610ABA" w:rsidRPr="00F34CA3" w:rsidRDefault="00610ABA" w:rsidP="00E91E47">
            <w:pPr>
              <w:keepNext/>
              <w:keepLines/>
              <w:spacing w:after="40"/>
              <w:rPr>
                <w:b w:val="0"/>
                <w:bCs/>
                <w:sz w:val="22"/>
                <w:szCs w:val="24"/>
              </w:rPr>
            </w:pPr>
            <w:r w:rsidRPr="00F34CA3">
              <w:rPr>
                <w:bCs/>
                <w:color w:val="000000"/>
              </w:rPr>
              <w:t>All Technologies</w:t>
            </w:r>
          </w:p>
        </w:tc>
        <w:tc>
          <w:tcPr>
            <w:tcW w:w="738" w:type="dxa"/>
            <w:noWrap/>
            <w:hideMark/>
          </w:tcPr>
          <w:p w14:paraId="0E23B8AB"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26%</w:t>
            </w:r>
          </w:p>
        </w:tc>
        <w:tc>
          <w:tcPr>
            <w:tcW w:w="738" w:type="dxa"/>
            <w:noWrap/>
            <w:hideMark/>
          </w:tcPr>
          <w:p w14:paraId="0B703710"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11%</w:t>
            </w:r>
          </w:p>
        </w:tc>
        <w:tc>
          <w:tcPr>
            <w:tcW w:w="739" w:type="dxa"/>
            <w:noWrap/>
            <w:hideMark/>
          </w:tcPr>
          <w:p w14:paraId="6AFD2A7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6%</w:t>
            </w:r>
          </w:p>
        </w:tc>
        <w:tc>
          <w:tcPr>
            <w:tcW w:w="738" w:type="dxa"/>
            <w:noWrap/>
            <w:hideMark/>
          </w:tcPr>
          <w:p w14:paraId="0D530647"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11%</w:t>
            </w:r>
          </w:p>
        </w:tc>
        <w:tc>
          <w:tcPr>
            <w:tcW w:w="738" w:type="dxa"/>
          </w:tcPr>
          <w:p w14:paraId="45248CC3"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16%</w:t>
            </w:r>
          </w:p>
        </w:tc>
        <w:tc>
          <w:tcPr>
            <w:tcW w:w="739" w:type="dxa"/>
          </w:tcPr>
          <w:p w14:paraId="2638ECCF"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18%</w:t>
            </w:r>
          </w:p>
        </w:tc>
        <w:tc>
          <w:tcPr>
            <w:tcW w:w="738" w:type="dxa"/>
          </w:tcPr>
          <w:p w14:paraId="70E17E1D"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21%</w:t>
            </w:r>
          </w:p>
        </w:tc>
        <w:tc>
          <w:tcPr>
            <w:tcW w:w="738" w:type="dxa"/>
          </w:tcPr>
          <w:p w14:paraId="15B0123A"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30%</w:t>
            </w:r>
          </w:p>
        </w:tc>
        <w:tc>
          <w:tcPr>
            <w:tcW w:w="739" w:type="dxa"/>
          </w:tcPr>
          <w:p w14:paraId="1EB7FFEF" w14:textId="77777777"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sidRPr="00F34CA3">
              <w:rPr>
                <w:color w:val="000000"/>
              </w:rPr>
              <w:t>39%</w:t>
            </w:r>
          </w:p>
        </w:tc>
        <w:tc>
          <w:tcPr>
            <w:tcW w:w="738" w:type="dxa"/>
          </w:tcPr>
          <w:p w14:paraId="37F75B46" w14:textId="377F6F36"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64%</w:t>
            </w:r>
          </w:p>
        </w:tc>
        <w:tc>
          <w:tcPr>
            <w:tcW w:w="739" w:type="dxa"/>
          </w:tcPr>
          <w:p w14:paraId="13E22488" w14:textId="76EE93FF" w:rsidR="00610ABA" w:rsidRPr="00F34CA3" w:rsidRDefault="00610ABA" w:rsidP="00843C34">
            <w:pPr>
              <w:keepNext/>
              <w:keepLines/>
              <w:jc w:val="center"/>
              <w:cnfStyle w:val="000000000000" w:firstRow="0" w:lastRow="0" w:firstColumn="0" w:lastColumn="0" w:oddVBand="0" w:evenVBand="0" w:oddHBand="0" w:evenHBand="0" w:firstRowFirstColumn="0" w:firstRowLastColumn="0" w:lastRowFirstColumn="0" w:lastRowLastColumn="0"/>
              <w:rPr>
                <w:sz w:val="22"/>
                <w:szCs w:val="24"/>
              </w:rPr>
            </w:pPr>
            <w:r>
              <w:rPr>
                <w:color w:val="000000"/>
              </w:rPr>
              <w:t>25</w:t>
            </w:r>
            <w:r w:rsidRPr="00F34CA3">
              <w:rPr>
                <w:color w:val="000000"/>
              </w:rPr>
              <w:t>%</w:t>
            </w:r>
          </w:p>
        </w:tc>
      </w:tr>
    </w:tbl>
    <w:p w14:paraId="4CAEF360" w14:textId="2676F637" w:rsidR="00BE3BFD" w:rsidRPr="00F34CA3" w:rsidRDefault="00BE3BFD" w:rsidP="00BE3BFD">
      <w:pPr>
        <w:pStyle w:val="Source"/>
      </w:pPr>
      <w:r w:rsidRPr="00F34CA3">
        <w:t xml:space="preserve">Source: </w:t>
      </w:r>
      <w:r w:rsidR="00A0726A">
        <w:t xml:space="preserve">2023 </w:t>
      </w:r>
      <w:r w:rsidRPr="00F34CA3">
        <w:t>Distributor sales data analysis</w:t>
      </w:r>
    </w:p>
    <w:p w14:paraId="7B96EA0C" w14:textId="572ABBD9" w:rsidR="00843C34" w:rsidRPr="00843C34" w:rsidRDefault="00843C34" w:rsidP="00843C34">
      <w:pPr>
        <w:pStyle w:val="Heading1"/>
      </w:pPr>
      <w:r>
        <w:lastRenderedPageBreak/>
        <w:t>Recommendations for Addressing Data Gaps</w:t>
      </w:r>
    </w:p>
    <w:p w14:paraId="6C8776DB" w14:textId="256448BC" w:rsidR="00843C34" w:rsidRPr="00F34CA3" w:rsidRDefault="00610ABA" w:rsidP="00843C34">
      <w:pPr>
        <w:pStyle w:val="BodyText"/>
      </w:pPr>
      <w:r>
        <w:t xml:space="preserve">Each year of data collection brings new insights and challenges as distributors submit additional data. This year, as in past years, the </w:t>
      </w:r>
      <w:r w:rsidR="008C3269">
        <w:t xml:space="preserve">research </w:t>
      </w:r>
      <w:r>
        <w:t xml:space="preserve">team found distributor participation to reasonably represent the Northwest region, as reflected in the mix of distributor sizes, distribution areas of sales, and business model types. However, changes in participation over time create gaps in collected sales data. </w:t>
      </w:r>
      <w:r w:rsidR="00843C34">
        <w:t>The research team</w:t>
      </w:r>
      <w:r w:rsidR="00843C34" w:rsidRPr="00F34CA3">
        <w:t xml:space="preserve"> will continue refining the outreach process to maximize distributor participation and fill existing data gaps caused by </w:t>
      </w:r>
      <w:r w:rsidR="00A0726A">
        <w:t>non</w:t>
      </w:r>
      <w:r w:rsidR="00843C34" w:rsidRPr="00F34CA3">
        <w:t xml:space="preserve">participation. </w:t>
      </w:r>
      <w:r w:rsidR="00843C34">
        <w:t>The research team</w:t>
      </w:r>
      <w:r w:rsidR="00843C34" w:rsidRPr="00F34CA3">
        <w:t xml:space="preserve"> recommends the following refinements to the outreach process:</w:t>
      </w:r>
    </w:p>
    <w:p w14:paraId="23E7A5CC" w14:textId="677477C6" w:rsidR="00843C34" w:rsidRPr="00F34CA3" w:rsidRDefault="00843C34" w:rsidP="00843C34">
      <w:pPr>
        <w:pStyle w:val="ListBullet"/>
      </w:pPr>
      <w:r w:rsidRPr="00F34CA3">
        <w:rPr>
          <w:b/>
          <w:bCs/>
        </w:rPr>
        <w:t>Increase efforts to reengage past participants, focusing on large</w:t>
      </w:r>
      <w:r w:rsidR="00610ABA">
        <w:rPr>
          <w:b/>
          <w:bCs/>
        </w:rPr>
        <w:t>, national,</w:t>
      </w:r>
      <w:r w:rsidRPr="00F34CA3">
        <w:rPr>
          <w:b/>
          <w:bCs/>
        </w:rPr>
        <w:t xml:space="preserve"> full-line distributors. </w:t>
      </w:r>
      <w:r w:rsidRPr="00F34CA3">
        <w:t xml:space="preserve">Over the last </w:t>
      </w:r>
      <w:r w:rsidR="00F63D6C">
        <w:t>six</w:t>
      </w:r>
      <w:r w:rsidRPr="00F34CA3">
        <w:t xml:space="preserve"> years, several large, national </w:t>
      </w:r>
      <w:r>
        <w:t>f</w:t>
      </w:r>
      <w:r w:rsidRPr="00F34CA3">
        <w:t>ull</w:t>
      </w:r>
      <w:r>
        <w:t>-line</w:t>
      </w:r>
      <w:r w:rsidRPr="00F34CA3">
        <w:t xml:space="preserve"> distributors who previously participated in the study have dropped out. These distributors </w:t>
      </w:r>
      <w:r w:rsidR="00F63D6C">
        <w:t xml:space="preserve">largely </w:t>
      </w:r>
      <w:r w:rsidRPr="00F34CA3">
        <w:t>declined to participate due to timing constraints</w:t>
      </w:r>
      <w:r w:rsidR="008D4275" w:rsidRPr="008D4275">
        <w:t xml:space="preserve"> related to day-to-day business obligation</w:t>
      </w:r>
      <w:r w:rsidR="008D4275">
        <w:t>s</w:t>
      </w:r>
      <w:r w:rsidRPr="00F34CA3">
        <w:t xml:space="preserve">. </w:t>
      </w:r>
      <w:r w:rsidR="00236CB0">
        <w:t>For</w:t>
      </w:r>
      <w:r w:rsidR="00236CB0" w:rsidRPr="00F34CA3">
        <w:t xml:space="preserve"> </w:t>
      </w:r>
      <w:r w:rsidRPr="00F34CA3">
        <w:t xml:space="preserve">the next year of the study, </w:t>
      </w:r>
      <w:r>
        <w:t>the research team</w:t>
      </w:r>
      <w:r w:rsidRPr="00F34CA3">
        <w:t xml:space="preserve"> should focus on reengaging these large regional and national </w:t>
      </w:r>
      <w:r>
        <w:t>f</w:t>
      </w:r>
      <w:r w:rsidRPr="00F34CA3">
        <w:t>ull</w:t>
      </w:r>
      <w:r>
        <w:t>-l</w:t>
      </w:r>
      <w:r w:rsidRPr="00F34CA3">
        <w:t xml:space="preserve">ine distributors in the study. </w:t>
      </w:r>
      <w:r>
        <w:t>The research team</w:t>
      </w:r>
      <w:r w:rsidRPr="00F34CA3">
        <w:t xml:space="preserve"> recommends discussions, including in-person meetings where possible, </w:t>
      </w:r>
      <w:r>
        <w:t>among</w:t>
      </w:r>
      <w:r w:rsidRPr="00F34CA3">
        <w:t xml:space="preserve"> NEEA, </w:t>
      </w:r>
      <w:r w:rsidR="00AA7818">
        <w:t>the research team, and</w:t>
      </w:r>
      <w:r w:rsidR="00AA7818" w:rsidRPr="00F34CA3">
        <w:t xml:space="preserve"> </w:t>
      </w:r>
      <w:r w:rsidRPr="00F34CA3">
        <w:t xml:space="preserve">the distributor to underscore the distributor’s importance as a partner. In these discussions, </w:t>
      </w:r>
      <w:r>
        <w:t>the research team</w:t>
      </w:r>
      <w:r w:rsidRPr="00F34CA3">
        <w:t xml:space="preserve"> can offer options to ease the burden of participation, including extend</w:t>
      </w:r>
      <w:r>
        <w:t>ing</w:t>
      </w:r>
      <w:r w:rsidRPr="00F34CA3">
        <w:t xml:space="preserve"> data submission deadlines, </w:t>
      </w:r>
      <w:r>
        <w:t xml:space="preserve">developing </w:t>
      </w:r>
      <w:r w:rsidRPr="00F34CA3">
        <w:t>custom data collection strategies, or increas</w:t>
      </w:r>
      <w:r>
        <w:t>ing</w:t>
      </w:r>
      <w:r w:rsidRPr="00F34CA3">
        <w:t xml:space="preserve"> incentives. If past participants are unresponsive in the first month, </w:t>
      </w:r>
      <w:r>
        <w:t>the research team</w:t>
      </w:r>
      <w:r w:rsidRPr="00F34CA3">
        <w:t xml:space="preserve"> should engage other reasonable contacts at a given distributor to rebuild rapport with the unresponsive contact. Many unresponsive cases this year were impacted by staffing changes, so this process may result in an introduction to the new point of contact.</w:t>
      </w:r>
    </w:p>
    <w:p w14:paraId="4E976680" w14:textId="26F4F0EF" w:rsidR="00F63D6C" w:rsidRPr="00F34CA3" w:rsidRDefault="00F63D6C" w:rsidP="00843C34">
      <w:pPr>
        <w:pStyle w:val="ListBullet"/>
      </w:pPr>
      <w:r>
        <w:rPr>
          <w:b/>
          <w:bCs/>
        </w:rPr>
        <w:t>Develop an outreach strategy to address data security concerns among distributors.</w:t>
      </w:r>
      <w:r>
        <w:t xml:space="preserve"> Many distributors who declined in 2023 did so data due to security and sharing concerns.</w:t>
      </w:r>
      <w:r w:rsidR="00110A2B">
        <w:t xml:space="preserve"> The </w:t>
      </w:r>
      <w:r w:rsidR="008C3269">
        <w:t xml:space="preserve">research </w:t>
      </w:r>
      <w:r w:rsidR="00110A2B">
        <w:t>team takes extensive precautions to ensure data security, including nondisclosure agreements, secure data transfer, and aggregated anonymized reporting.</w:t>
      </w:r>
      <w:r>
        <w:t xml:space="preserve"> </w:t>
      </w:r>
      <w:r w:rsidR="00110A2B">
        <w:t xml:space="preserve">Despite those measures, some distributors had concerns. </w:t>
      </w:r>
      <w:r>
        <w:t>The research team recommends increasing the emphasis on data security and secure data transfer protocols in distributor outreach in 2024 to assuage distributor concerns and increase comfort with the study among potential new participants.</w:t>
      </w:r>
    </w:p>
    <w:p w14:paraId="6B8E9A2D" w14:textId="3D458E77" w:rsidR="00BE3BFD" w:rsidRDefault="00BE3BFD" w:rsidP="00843C34">
      <w:pPr>
        <w:pStyle w:val="BodyText"/>
      </w:pPr>
    </w:p>
    <w:p w14:paraId="5CFB4B90" w14:textId="2B5F3FD6" w:rsidR="008D4275" w:rsidRPr="00843C34" w:rsidRDefault="008D4275" w:rsidP="008D4275">
      <w:pPr>
        <w:pStyle w:val="Heading1"/>
      </w:pPr>
      <w:r>
        <w:lastRenderedPageBreak/>
        <w:t>Conclusion</w:t>
      </w:r>
    </w:p>
    <w:p w14:paraId="307732F0" w14:textId="2F8EC7E7" w:rsidR="00E82D2F" w:rsidRPr="00BE3BFD" w:rsidRDefault="008D4275" w:rsidP="008D4275">
      <w:pPr>
        <w:pStyle w:val="BodyText"/>
      </w:pPr>
      <w:r>
        <w:t>The collaboration between BPA and NEEA to collect annual sales data from regional lighting and electrical distributors ensures the</w:t>
      </w:r>
      <w:r w:rsidRPr="00EF3C74">
        <w:t xml:space="preserve"> </w:t>
      </w:r>
      <w:r>
        <w:t>Non-residential Lighting Market Model’s accuracy and its value as a regional resource for understanding market trends in the Pacific Northwest. BPA intends the model to serve as a valuable resource for stakeholders and decision-makers in the region, enabling them to make informed decisions and develop effective strategies for energy efficiency and conservation. Based on the data gaps and uncertainties discussed in this report and the recommendations for addressing these issues, BPA will continue data collection efforts with the aim to improve representativeness and enhance data quality to strengthen the accuracy and reliability of the model.</w:t>
      </w:r>
    </w:p>
    <w:p w14:paraId="1C7773AF" w14:textId="60B773B4" w:rsidR="00EA35EC" w:rsidRPr="00843C34" w:rsidRDefault="00EA35EC" w:rsidP="00843C34">
      <w:pPr>
        <w:pStyle w:val="Heading6"/>
      </w:pPr>
      <w:bookmarkStart w:id="14" w:name="_Toc115444042"/>
      <w:bookmarkStart w:id="15" w:name="_Ref133834481"/>
      <w:r w:rsidRPr="00843C34">
        <w:lastRenderedPageBreak/>
        <w:t xml:space="preserve">Appendix </w:t>
      </w:r>
      <w:bookmarkEnd w:id="14"/>
      <w:r w:rsidR="00843C34" w:rsidRPr="00843C34">
        <w:t>1: Summary of Distributor Business Model Types</w:t>
      </w:r>
      <w:bookmarkEnd w:id="15"/>
    </w:p>
    <w:p w14:paraId="02646E91" w14:textId="13FC8F1C" w:rsidR="00843C34" w:rsidRPr="00F34CA3" w:rsidRDefault="00AA7818" w:rsidP="00843C34">
      <w:pPr>
        <w:pStyle w:val="BodyText"/>
      </w:pPr>
      <w:r>
        <w:t>The Cadeo team (t</w:t>
      </w:r>
      <w:r w:rsidR="00843C34" w:rsidRPr="00F34CA3">
        <w:t>he research team</w:t>
      </w:r>
      <w:r>
        <w:t>)</w:t>
      </w:r>
      <w:r w:rsidR="00843C34" w:rsidRPr="00F34CA3">
        <w:t xml:space="preserve"> defines each business model as follows:</w:t>
      </w:r>
    </w:p>
    <w:p w14:paraId="61F27383" w14:textId="77777777" w:rsidR="00843C34" w:rsidRPr="00843C34" w:rsidRDefault="00843C34" w:rsidP="00843C34">
      <w:pPr>
        <w:pStyle w:val="ListBullet"/>
        <w:rPr>
          <w:b/>
          <w:bCs/>
        </w:rPr>
      </w:pPr>
      <w:r w:rsidRPr="00843C34">
        <w:rPr>
          <w:b/>
          <w:bCs/>
        </w:rPr>
        <w:t>Full line:</w:t>
      </w:r>
    </w:p>
    <w:p w14:paraId="2D464355" w14:textId="24DB8810" w:rsidR="00843C34" w:rsidRPr="00F34CA3" w:rsidRDefault="00843C34">
      <w:pPr>
        <w:pStyle w:val="ListBullet"/>
        <w:numPr>
          <w:ilvl w:val="1"/>
          <w:numId w:val="2"/>
        </w:numPr>
      </w:pPr>
      <w:r w:rsidRPr="00F34CA3">
        <w:t>Traditional electric distributors selling all general electric products, including</w:t>
      </w:r>
      <w:r w:rsidR="00AA7818">
        <w:t xml:space="preserve">, </w:t>
      </w:r>
      <w:r w:rsidRPr="00F34CA3">
        <w:t>but not limited to</w:t>
      </w:r>
      <w:r w:rsidR="00AA7818">
        <w:t>,</w:t>
      </w:r>
      <w:r w:rsidRPr="00F34CA3">
        <w:t xml:space="preserve"> scheduled regular maintenance orders</w:t>
      </w:r>
      <w:r w:rsidR="00AA7818">
        <w:t>.</w:t>
      </w:r>
    </w:p>
    <w:p w14:paraId="7B91DD15" w14:textId="1ED52E8E" w:rsidR="00843C34" w:rsidRPr="00F34CA3" w:rsidRDefault="00843C34">
      <w:pPr>
        <w:pStyle w:val="ListBullet"/>
        <w:numPr>
          <w:ilvl w:val="1"/>
          <w:numId w:val="2"/>
        </w:numPr>
      </w:pPr>
      <w:r w:rsidRPr="00F34CA3">
        <w:t>Larger businesses that typically have in-house lighting and/or electrical staff</w:t>
      </w:r>
      <w:r w:rsidR="00AA7818">
        <w:t>.</w:t>
      </w:r>
    </w:p>
    <w:p w14:paraId="25DB5A3A" w14:textId="6E8EFFCA" w:rsidR="00843C34" w:rsidRPr="00F34CA3" w:rsidRDefault="00843C34">
      <w:pPr>
        <w:pStyle w:val="ListBullet"/>
        <w:numPr>
          <w:ilvl w:val="1"/>
          <w:numId w:val="2"/>
        </w:numPr>
      </w:pPr>
      <w:r w:rsidRPr="00F34CA3">
        <w:t>Lighting is usually a small portion of the overall business</w:t>
      </w:r>
      <w:r w:rsidR="00AA7818">
        <w:t>.</w:t>
      </w:r>
    </w:p>
    <w:p w14:paraId="6B21369D" w14:textId="77777777" w:rsidR="00843C34" w:rsidRPr="00843C34" w:rsidRDefault="00843C34" w:rsidP="00843C34">
      <w:pPr>
        <w:pStyle w:val="ListBullet"/>
        <w:rPr>
          <w:b/>
          <w:bCs/>
        </w:rPr>
      </w:pPr>
      <w:r w:rsidRPr="00843C34">
        <w:rPr>
          <w:b/>
          <w:bCs/>
        </w:rPr>
        <w:t>Maintenance, repair, and operations and online:</w:t>
      </w:r>
    </w:p>
    <w:p w14:paraId="7439132D" w14:textId="66CA83D8" w:rsidR="00843C34" w:rsidRPr="00F34CA3" w:rsidRDefault="00843C34">
      <w:pPr>
        <w:pStyle w:val="ListBullet"/>
        <w:numPr>
          <w:ilvl w:val="1"/>
          <w:numId w:val="2"/>
        </w:numPr>
      </w:pPr>
      <w:r w:rsidRPr="00F34CA3">
        <w:t>Primarily serve scheduled regular maintenance orders</w:t>
      </w:r>
      <w:r w:rsidR="00AA7818">
        <w:t>.</w:t>
      </w:r>
    </w:p>
    <w:p w14:paraId="4CA1A626" w14:textId="718E28EB" w:rsidR="00843C34" w:rsidRPr="00F34CA3" w:rsidRDefault="00843C34">
      <w:pPr>
        <w:pStyle w:val="ListBullet"/>
        <w:numPr>
          <w:ilvl w:val="1"/>
          <w:numId w:val="2"/>
        </w:numPr>
      </w:pPr>
      <w:r w:rsidRPr="00F34CA3">
        <w:t>Often receive orders online or via email</w:t>
      </w:r>
      <w:r w:rsidR="00AA7818">
        <w:t>.</w:t>
      </w:r>
    </w:p>
    <w:p w14:paraId="706FE2EF" w14:textId="61CFE948" w:rsidR="00843C34" w:rsidRPr="00F34CA3" w:rsidRDefault="00843C34">
      <w:pPr>
        <w:pStyle w:val="ListBullet"/>
        <w:numPr>
          <w:ilvl w:val="1"/>
          <w:numId w:val="2"/>
        </w:numPr>
      </w:pPr>
      <w:r w:rsidRPr="00F34CA3">
        <w:t>May sell a variety of products or just lighting</w:t>
      </w:r>
      <w:r w:rsidR="00AA7818">
        <w:t>.</w:t>
      </w:r>
    </w:p>
    <w:p w14:paraId="0F61D095" w14:textId="3E16E565" w:rsidR="00843C34" w:rsidRPr="00F34CA3" w:rsidRDefault="00843C34">
      <w:pPr>
        <w:pStyle w:val="ListBullet"/>
        <w:numPr>
          <w:ilvl w:val="1"/>
          <w:numId w:val="2"/>
        </w:numPr>
      </w:pPr>
      <w:r w:rsidRPr="00F34CA3">
        <w:t>Tend to have a higher proportion of lamps to fixtures in sales</w:t>
      </w:r>
      <w:r w:rsidR="00AA7818">
        <w:t>.</w:t>
      </w:r>
    </w:p>
    <w:p w14:paraId="368B8B05" w14:textId="77777777" w:rsidR="00843C34" w:rsidRPr="00843C34" w:rsidRDefault="00843C34" w:rsidP="00843C34">
      <w:pPr>
        <w:pStyle w:val="ListBullet"/>
        <w:rPr>
          <w:b/>
          <w:bCs/>
        </w:rPr>
      </w:pPr>
      <w:r w:rsidRPr="00843C34">
        <w:rPr>
          <w:b/>
          <w:bCs/>
        </w:rPr>
        <w:t>Lighting consultants:</w:t>
      </w:r>
    </w:p>
    <w:p w14:paraId="2260FCB6" w14:textId="4DCD2E22" w:rsidR="00843C34" w:rsidRPr="00F34CA3" w:rsidRDefault="00843C34">
      <w:pPr>
        <w:pStyle w:val="ListBullet"/>
        <w:numPr>
          <w:ilvl w:val="1"/>
          <w:numId w:val="2"/>
        </w:numPr>
      </w:pPr>
      <w:r w:rsidRPr="00F34CA3">
        <w:t>Small companies with a focus on energy efficiency projects</w:t>
      </w:r>
      <w:r w:rsidR="00AA7818">
        <w:t>.</w:t>
      </w:r>
    </w:p>
    <w:p w14:paraId="7DCB86F0" w14:textId="4E80F94D" w:rsidR="00843C34" w:rsidRPr="00F34CA3" w:rsidRDefault="00843C34">
      <w:pPr>
        <w:pStyle w:val="ListBullet"/>
        <w:numPr>
          <w:ilvl w:val="1"/>
          <w:numId w:val="2"/>
        </w:numPr>
      </w:pPr>
      <w:r w:rsidRPr="00F34CA3">
        <w:t>May only sell LED products and lighting controls</w:t>
      </w:r>
      <w:r w:rsidR="00AA7818">
        <w:t>.</w:t>
      </w:r>
    </w:p>
    <w:p w14:paraId="0404A791" w14:textId="234013D8" w:rsidR="00843C34" w:rsidRPr="00F34CA3" w:rsidRDefault="00843C34">
      <w:pPr>
        <w:pStyle w:val="ListBullet"/>
        <w:numPr>
          <w:ilvl w:val="1"/>
          <w:numId w:val="2"/>
        </w:numPr>
      </w:pPr>
      <w:r w:rsidRPr="00F34CA3">
        <w:t>May sell only lighting or a variety of products</w:t>
      </w:r>
      <w:r w:rsidR="00AA7818">
        <w:t>.</w:t>
      </w:r>
    </w:p>
    <w:p w14:paraId="6D85B662" w14:textId="4EAAB907" w:rsidR="00EA35EC" w:rsidRDefault="00843C34" w:rsidP="00843C34">
      <w:pPr>
        <w:pStyle w:val="Heading6"/>
      </w:pPr>
      <w:bookmarkStart w:id="16" w:name="_Ref133834436"/>
      <w:r>
        <w:lastRenderedPageBreak/>
        <w:t xml:space="preserve">Appendix 2: </w:t>
      </w:r>
      <w:r w:rsidRPr="00843C34">
        <w:t>Summary of Unique Database Category Entries</w:t>
      </w:r>
      <w:bookmarkEnd w:id="16"/>
    </w:p>
    <w:p w14:paraId="0959AE6E" w14:textId="1ABEEE3A" w:rsidR="00843C34" w:rsidRPr="00F34CA3" w:rsidRDefault="000D463A" w:rsidP="00843C34">
      <w:pPr>
        <w:pStyle w:val="BodyText"/>
      </w:pPr>
      <w:r>
        <w:fldChar w:fldCharType="begin"/>
      </w:r>
      <w:r>
        <w:instrText xml:space="preserve"> REF _Ref138152164 \h </w:instrText>
      </w:r>
      <w:r>
        <w:fldChar w:fldCharType="separate"/>
      </w:r>
      <w:r w:rsidR="00C02B88">
        <w:t xml:space="preserve">Table </w:t>
      </w:r>
      <w:r w:rsidR="00C02B88">
        <w:rPr>
          <w:noProof/>
        </w:rPr>
        <w:t>4</w:t>
      </w:r>
      <w:r>
        <w:fldChar w:fldCharType="end"/>
      </w:r>
      <w:r w:rsidR="00843C34">
        <w:t xml:space="preserve"> through </w:t>
      </w:r>
      <w:r>
        <w:fldChar w:fldCharType="begin"/>
      </w:r>
      <w:r>
        <w:instrText xml:space="preserve"> REF _Ref138152170 \h </w:instrText>
      </w:r>
      <w:r>
        <w:fldChar w:fldCharType="separate"/>
      </w:r>
      <w:r w:rsidR="00C02B88">
        <w:t xml:space="preserve">Table </w:t>
      </w:r>
      <w:r w:rsidR="00C02B88">
        <w:rPr>
          <w:noProof/>
        </w:rPr>
        <w:t>10</w:t>
      </w:r>
      <w:r>
        <w:fldChar w:fldCharType="end"/>
      </w:r>
      <w:r w:rsidR="00843C34" w:rsidRPr="00F34CA3">
        <w:t xml:space="preserve"> summarize the possible entries for the General_Category, Dimension, Subcategory, and Base_Type fields for each lighting technology type. </w:t>
      </w:r>
    </w:p>
    <w:p w14:paraId="508578FE" w14:textId="69964879" w:rsidR="00843C34" w:rsidRPr="00843C34" w:rsidRDefault="000D463A" w:rsidP="000D463A">
      <w:pPr>
        <w:pStyle w:val="Caption"/>
      </w:pPr>
      <w:bookmarkStart w:id="17" w:name="_Ref138152164"/>
      <w:r>
        <w:t xml:space="preserve">Table </w:t>
      </w:r>
      <w:fldSimple w:instr=" SEQ Table \* ARABIC ">
        <w:r w:rsidR="00C02B88">
          <w:rPr>
            <w:noProof/>
          </w:rPr>
          <w:t>4</w:t>
        </w:r>
      </w:fldSimple>
      <w:bookmarkEnd w:id="17"/>
      <w:r>
        <w:t xml:space="preserve">: </w:t>
      </w:r>
      <w:r w:rsidR="00843C34" w:rsidRPr="00843C34">
        <w:t>Lighting Technology Type: Linear Fluorescent</w:t>
      </w:r>
      <w:r w:rsidR="00843C34" w:rsidRPr="00AA7818">
        <w:rPr>
          <w:rStyle w:val="FootnoteReference"/>
          <w:rFonts w:asciiTheme="majorHAnsi" w:hAnsiTheme="majorHAnsi"/>
          <w:sz w:val="24"/>
        </w:rPr>
        <w:footnoteReference w:id="11"/>
      </w:r>
    </w:p>
    <w:tbl>
      <w:tblPr>
        <w:tblStyle w:val="BPATable-classic"/>
        <w:tblW w:w="5000" w:type="pct"/>
        <w:tblLayout w:type="fixed"/>
        <w:tblLook w:val="04A0" w:firstRow="1" w:lastRow="0" w:firstColumn="1" w:lastColumn="0" w:noHBand="0" w:noVBand="1"/>
      </w:tblPr>
      <w:tblGrid>
        <w:gridCol w:w="3420"/>
        <w:gridCol w:w="1887"/>
        <w:gridCol w:w="2072"/>
        <w:gridCol w:w="1981"/>
      </w:tblGrid>
      <w:tr w:rsidR="00843C34" w:rsidRPr="00F34CA3" w14:paraId="11BB5447" w14:textId="77777777" w:rsidTr="00AA7818">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827" w:type="pct"/>
            <w:noWrap/>
            <w:hideMark/>
          </w:tcPr>
          <w:p w14:paraId="2B7F899B" w14:textId="77777777" w:rsidR="00843C34" w:rsidRPr="00F34CA3" w:rsidRDefault="00843C34" w:rsidP="00AA7818">
            <w:pPr>
              <w:keepNext/>
              <w:keepLines/>
              <w:spacing w:after="40"/>
              <w:jc w:val="center"/>
              <w:rPr>
                <w:rFonts w:eastAsia="Calibri" w:cs="Segoe UI"/>
                <w:bCs/>
              </w:rPr>
            </w:pPr>
            <w:r w:rsidRPr="00F34CA3">
              <w:rPr>
                <w:rFonts w:eastAsia="Calibri" w:cs="Arial"/>
              </w:rPr>
              <w:t>General Category</w:t>
            </w:r>
          </w:p>
        </w:tc>
        <w:tc>
          <w:tcPr>
            <w:tcW w:w="1008" w:type="pct"/>
            <w:noWrap/>
            <w:hideMark/>
          </w:tcPr>
          <w:p w14:paraId="56CED746"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1107" w:type="pct"/>
            <w:noWrap/>
            <w:hideMark/>
          </w:tcPr>
          <w:p w14:paraId="58257BB5"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1058" w:type="pct"/>
            <w:noWrap/>
            <w:hideMark/>
          </w:tcPr>
          <w:p w14:paraId="3107C272"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447CF461"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1827" w:type="pct"/>
            <w:vMerge w:val="restart"/>
            <w:noWrap/>
          </w:tcPr>
          <w:p w14:paraId="5A9CD87F"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T12</w:t>
            </w:r>
          </w:p>
        </w:tc>
        <w:tc>
          <w:tcPr>
            <w:tcW w:w="1008" w:type="pct"/>
            <w:noWrap/>
          </w:tcPr>
          <w:p w14:paraId="4E2A5C8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1107" w:type="pct"/>
            <w:noWrap/>
          </w:tcPr>
          <w:p w14:paraId="4A2C591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34W</w:t>
            </w:r>
          </w:p>
        </w:tc>
        <w:tc>
          <w:tcPr>
            <w:tcW w:w="1058" w:type="pct"/>
            <w:noWrap/>
          </w:tcPr>
          <w:p w14:paraId="2262D473"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1CD8CFC8"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08B7F459"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1425BC4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06B476E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40W</w:t>
            </w:r>
          </w:p>
        </w:tc>
        <w:tc>
          <w:tcPr>
            <w:tcW w:w="0" w:type="pct"/>
            <w:noWrap/>
          </w:tcPr>
          <w:p w14:paraId="5442AC4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4069BA55"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44A7DBE9"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76AC529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4BE90F4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U-Shape</w:t>
            </w:r>
          </w:p>
        </w:tc>
        <w:tc>
          <w:tcPr>
            <w:tcW w:w="0" w:type="pct"/>
            <w:noWrap/>
          </w:tcPr>
          <w:p w14:paraId="46FBAEB2"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52C6A025"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331E1649"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2449CC5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3E309C3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0" w:type="pct"/>
            <w:noWrap/>
          </w:tcPr>
          <w:p w14:paraId="69E6B55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58B6F991"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val="restart"/>
            <w:noWrap/>
          </w:tcPr>
          <w:p w14:paraId="28FA7C5E"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T8 - High Performance 800 Series or Better</w:t>
            </w:r>
          </w:p>
        </w:tc>
        <w:tc>
          <w:tcPr>
            <w:tcW w:w="0" w:type="pct"/>
            <w:noWrap/>
          </w:tcPr>
          <w:p w14:paraId="2C81DC3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0CEA216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25W</w:t>
            </w:r>
          </w:p>
        </w:tc>
        <w:tc>
          <w:tcPr>
            <w:tcW w:w="0" w:type="pct"/>
            <w:noWrap/>
          </w:tcPr>
          <w:p w14:paraId="0D10CDE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590CF00A"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7E911ECA"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205739E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4D54F29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28W</w:t>
            </w:r>
          </w:p>
        </w:tc>
        <w:tc>
          <w:tcPr>
            <w:tcW w:w="0" w:type="pct"/>
            <w:noWrap/>
          </w:tcPr>
          <w:p w14:paraId="4EEC448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66388AFD"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60618E0A"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199310B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39F60D3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32W</w:t>
            </w:r>
          </w:p>
        </w:tc>
        <w:tc>
          <w:tcPr>
            <w:tcW w:w="0" w:type="pct"/>
            <w:noWrap/>
          </w:tcPr>
          <w:p w14:paraId="2F658F5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26B11139"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22390752"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00DA8E7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5B98FFA4"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0" w:type="pct"/>
            <w:noWrap/>
          </w:tcPr>
          <w:p w14:paraId="17941332"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7DE128DF"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val="restart"/>
            <w:noWrap/>
          </w:tcPr>
          <w:p w14:paraId="71EE8A0D"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T8 - Standard 700 Series</w:t>
            </w:r>
          </w:p>
        </w:tc>
        <w:tc>
          <w:tcPr>
            <w:tcW w:w="0" w:type="pct"/>
            <w:noWrap/>
          </w:tcPr>
          <w:p w14:paraId="6733067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2B8BD2E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32W</w:t>
            </w:r>
          </w:p>
        </w:tc>
        <w:tc>
          <w:tcPr>
            <w:tcW w:w="0" w:type="pct"/>
            <w:noWrap/>
          </w:tcPr>
          <w:p w14:paraId="2E25DEC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204E0058"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41EA0160"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49439E3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42194B6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U-Shape</w:t>
            </w:r>
          </w:p>
        </w:tc>
        <w:tc>
          <w:tcPr>
            <w:tcW w:w="0" w:type="pct"/>
            <w:noWrap/>
          </w:tcPr>
          <w:p w14:paraId="5F6E29F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3732882B"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6B6FE83D"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3F2D55C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4941C48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0" w:type="pct"/>
            <w:noWrap/>
          </w:tcPr>
          <w:p w14:paraId="7B1D898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63E56321"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val="restart"/>
            <w:noWrap/>
          </w:tcPr>
          <w:p w14:paraId="289E980A"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T5</w:t>
            </w:r>
          </w:p>
        </w:tc>
        <w:tc>
          <w:tcPr>
            <w:tcW w:w="0" w:type="pct"/>
            <w:noWrap/>
          </w:tcPr>
          <w:p w14:paraId="673B76D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6F4C2E8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28W</w:t>
            </w:r>
          </w:p>
        </w:tc>
        <w:tc>
          <w:tcPr>
            <w:tcW w:w="0" w:type="pct"/>
            <w:noWrap/>
          </w:tcPr>
          <w:p w14:paraId="58A242B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0D909F00"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7218D93A"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3E528A0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7F85B6B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54W</w:t>
            </w:r>
          </w:p>
        </w:tc>
        <w:tc>
          <w:tcPr>
            <w:tcW w:w="0" w:type="pct"/>
            <w:noWrap/>
          </w:tcPr>
          <w:p w14:paraId="47BF363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78EEBC6E"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00307881"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5E8B948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0" w:type="pct"/>
            <w:noWrap/>
          </w:tcPr>
          <w:p w14:paraId="2BCCCFB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0" w:type="pct"/>
            <w:noWrap/>
          </w:tcPr>
          <w:p w14:paraId="6B495FD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3F71B592"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1827" w:type="pct"/>
            <w:vMerge w:val="restart"/>
            <w:noWrap/>
          </w:tcPr>
          <w:p w14:paraId="79BFB594"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T12</w:t>
            </w:r>
          </w:p>
        </w:tc>
        <w:tc>
          <w:tcPr>
            <w:tcW w:w="1008" w:type="pct"/>
            <w:noWrap/>
          </w:tcPr>
          <w:p w14:paraId="4AA5E514"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8-foot</w:t>
            </w:r>
          </w:p>
        </w:tc>
        <w:tc>
          <w:tcPr>
            <w:tcW w:w="1107" w:type="pct"/>
            <w:noWrap/>
          </w:tcPr>
          <w:p w14:paraId="595202E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Slimline</w:t>
            </w:r>
          </w:p>
        </w:tc>
        <w:tc>
          <w:tcPr>
            <w:tcW w:w="1058" w:type="pct"/>
            <w:noWrap/>
          </w:tcPr>
          <w:p w14:paraId="3A468BE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396E3DBF"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084F72AA"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6AEEA85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8-foot</w:t>
            </w:r>
          </w:p>
        </w:tc>
        <w:tc>
          <w:tcPr>
            <w:tcW w:w="0" w:type="pct"/>
            <w:noWrap/>
          </w:tcPr>
          <w:p w14:paraId="60BC0CF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High Output</w:t>
            </w:r>
          </w:p>
        </w:tc>
        <w:tc>
          <w:tcPr>
            <w:tcW w:w="0" w:type="pct"/>
            <w:noWrap/>
          </w:tcPr>
          <w:p w14:paraId="294AE63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7E74AB5E"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55438E98"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1BC23EA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8-foot</w:t>
            </w:r>
          </w:p>
        </w:tc>
        <w:tc>
          <w:tcPr>
            <w:tcW w:w="0" w:type="pct"/>
            <w:noWrap/>
          </w:tcPr>
          <w:p w14:paraId="05E95F1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0" w:type="pct"/>
            <w:noWrap/>
          </w:tcPr>
          <w:p w14:paraId="64F0A19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5387762E"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val="restart"/>
            <w:noWrap/>
          </w:tcPr>
          <w:p w14:paraId="5CDF4336"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T8</w:t>
            </w:r>
          </w:p>
        </w:tc>
        <w:tc>
          <w:tcPr>
            <w:tcW w:w="0" w:type="pct"/>
            <w:noWrap/>
          </w:tcPr>
          <w:p w14:paraId="7C22577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8-foot</w:t>
            </w:r>
          </w:p>
        </w:tc>
        <w:tc>
          <w:tcPr>
            <w:tcW w:w="0" w:type="pct"/>
            <w:noWrap/>
          </w:tcPr>
          <w:p w14:paraId="4C81684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Slimline</w:t>
            </w:r>
          </w:p>
        </w:tc>
        <w:tc>
          <w:tcPr>
            <w:tcW w:w="0" w:type="pct"/>
            <w:noWrap/>
          </w:tcPr>
          <w:p w14:paraId="1B8B8C0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47272158"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0ECD9ECD"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0151DB0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8-foot</w:t>
            </w:r>
          </w:p>
        </w:tc>
        <w:tc>
          <w:tcPr>
            <w:tcW w:w="0" w:type="pct"/>
            <w:noWrap/>
          </w:tcPr>
          <w:p w14:paraId="3C4BF94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High Output</w:t>
            </w:r>
          </w:p>
        </w:tc>
        <w:tc>
          <w:tcPr>
            <w:tcW w:w="0" w:type="pct"/>
            <w:noWrap/>
          </w:tcPr>
          <w:p w14:paraId="49A7D87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7F267078" w14:textId="77777777" w:rsidTr="00AA7818">
        <w:trPr>
          <w:trHeight w:val="144"/>
        </w:trPr>
        <w:tc>
          <w:tcPr>
            <w:cnfStyle w:val="001000000000" w:firstRow="0" w:lastRow="0" w:firstColumn="1" w:lastColumn="0" w:oddVBand="0" w:evenVBand="0" w:oddHBand="0" w:evenHBand="0" w:firstRowFirstColumn="0" w:firstRowLastColumn="0" w:lastRowFirstColumn="0" w:lastRowLastColumn="0"/>
            <w:tcW w:w="0" w:type="pct"/>
            <w:vMerge/>
            <w:noWrap/>
          </w:tcPr>
          <w:p w14:paraId="433712F2" w14:textId="77777777" w:rsidR="00843C34" w:rsidRPr="00F34CA3" w:rsidRDefault="00843C34" w:rsidP="00AA7818">
            <w:pPr>
              <w:keepNext/>
              <w:keepLines/>
              <w:spacing w:after="40"/>
              <w:jc w:val="center"/>
              <w:rPr>
                <w:rFonts w:eastAsia="Calibri" w:cs="Segoe UI"/>
                <w:color w:val="000000"/>
                <w:szCs w:val="20"/>
              </w:rPr>
            </w:pPr>
          </w:p>
        </w:tc>
        <w:tc>
          <w:tcPr>
            <w:tcW w:w="0" w:type="pct"/>
            <w:noWrap/>
          </w:tcPr>
          <w:p w14:paraId="32DEAFE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8-foot</w:t>
            </w:r>
          </w:p>
        </w:tc>
        <w:tc>
          <w:tcPr>
            <w:tcW w:w="0" w:type="pct"/>
            <w:noWrap/>
          </w:tcPr>
          <w:p w14:paraId="240FBAB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0" w:type="pct"/>
            <w:noWrap/>
          </w:tcPr>
          <w:p w14:paraId="0A79D67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bl>
    <w:p w14:paraId="00B59D7D" w14:textId="77777777" w:rsidR="00843C34" w:rsidRPr="00F34CA3" w:rsidRDefault="00843C34" w:rsidP="00AA7818">
      <w:pPr>
        <w:jc w:val="center"/>
      </w:pPr>
    </w:p>
    <w:p w14:paraId="52677B7B" w14:textId="771E9CC5" w:rsidR="00843C34" w:rsidRPr="00843C34" w:rsidRDefault="000D463A" w:rsidP="000D463A">
      <w:pPr>
        <w:pStyle w:val="Caption"/>
      </w:pPr>
      <w:r>
        <w:lastRenderedPageBreak/>
        <w:t xml:space="preserve">Table </w:t>
      </w:r>
      <w:fldSimple w:instr=" SEQ Table \* ARABIC ">
        <w:r w:rsidR="00C02B88">
          <w:rPr>
            <w:noProof/>
          </w:rPr>
          <w:t>5</w:t>
        </w:r>
      </w:fldSimple>
      <w:r w:rsidR="00843C34" w:rsidRPr="00843C34">
        <w:t xml:space="preserve">: Lighting Technology Type: </w:t>
      </w:r>
      <w:r w:rsidR="005A7D57">
        <w:t>High-Intensity Discharge</w:t>
      </w:r>
    </w:p>
    <w:tbl>
      <w:tblPr>
        <w:tblStyle w:val="BPATable-classic"/>
        <w:tblW w:w="5096" w:type="pct"/>
        <w:tblLook w:val="04A0" w:firstRow="1" w:lastRow="0" w:firstColumn="1" w:lastColumn="0" w:noHBand="0" w:noVBand="1"/>
      </w:tblPr>
      <w:tblGrid>
        <w:gridCol w:w="2520"/>
        <w:gridCol w:w="1710"/>
        <w:gridCol w:w="2786"/>
        <w:gridCol w:w="2524"/>
      </w:tblGrid>
      <w:tr w:rsidR="00843C34" w:rsidRPr="00F34CA3" w14:paraId="4E46008F" w14:textId="77777777" w:rsidTr="00AA7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1" w:type="pct"/>
            <w:noWrap/>
            <w:hideMark/>
          </w:tcPr>
          <w:p w14:paraId="66F90AEE" w14:textId="77777777" w:rsidR="00843C34" w:rsidRPr="00F34CA3" w:rsidRDefault="00843C34" w:rsidP="00AA7818">
            <w:pPr>
              <w:keepNext/>
              <w:keepLines/>
              <w:spacing w:after="40"/>
              <w:jc w:val="center"/>
              <w:rPr>
                <w:rFonts w:eastAsia="Calibri" w:cs="Segoe UI"/>
                <w:bCs/>
              </w:rPr>
            </w:pPr>
            <w:r w:rsidRPr="00F34CA3">
              <w:rPr>
                <w:rFonts w:eastAsia="Calibri" w:cs="Arial"/>
              </w:rPr>
              <w:t>General Category</w:t>
            </w:r>
          </w:p>
        </w:tc>
        <w:tc>
          <w:tcPr>
            <w:tcW w:w="896" w:type="pct"/>
            <w:noWrap/>
            <w:hideMark/>
          </w:tcPr>
          <w:p w14:paraId="7B252B51"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1460" w:type="pct"/>
            <w:noWrap/>
            <w:hideMark/>
          </w:tcPr>
          <w:p w14:paraId="5BFBC0FA"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1323" w:type="pct"/>
            <w:noWrap/>
            <w:hideMark/>
          </w:tcPr>
          <w:p w14:paraId="64272F14"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146F8B3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321" w:type="pct"/>
            <w:vMerge w:val="restart"/>
            <w:noWrap/>
          </w:tcPr>
          <w:p w14:paraId="6E90562C"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Mercury Vapor</w:t>
            </w:r>
          </w:p>
        </w:tc>
        <w:tc>
          <w:tcPr>
            <w:tcW w:w="896" w:type="pct"/>
            <w:noWrap/>
          </w:tcPr>
          <w:p w14:paraId="3246C93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460" w:type="pct"/>
            <w:noWrap/>
          </w:tcPr>
          <w:p w14:paraId="60A277A2"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Pr>
                <w:rFonts w:eastAsia="Calibri" w:cs="Segoe UI"/>
                <w:color w:val="000000"/>
              </w:rPr>
              <w:t>≤</w:t>
            </w:r>
            <w:r w:rsidRPr="00F34CA3">
              <w:rPr>
                <w:rFonts w:eastAsia="Calibri" w:cs="Segoe UI"/>
                <w:color w:val="000000"/>
              </w:rPr>
              <w:t>400W</w:t>
            </w:r>
          </w:p>
        </w:tc>
        <w:tc>
          <w:tcPr>
            <w:tcW w:w="1323" w:type="pct"/>
            <w:noWrap/>
          </w:tcPr>
          <w:p w14:paraId="53D4593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3758076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321" w:type="pct"/>
            <w:vMerge/>
            <w:noWrap/>
          </w:tcPr>
          <w:p w14:paraId="163D9175" w14:textId="77777777" w:rsidR="00843C34" w:rsidRPr="00F34CA3" w:rsidRDefault="00843C34" w:rsidP="00AA7818">
            <w:pPr>
              <w:keepNext/>
              <w:keepLines/>
              <w:spacing w:after="40"/>
              <w:jc w:val="center"/>
              <w:rPr>
                <w:rFonts w:eastAsia="Calibri" w:cs="Segoe UI"/>
                <w:color w:val="000000"/>
              </w:rPr>
            </w:pPr>
          </w:p>
        </w:tc>
        <w:tc>
          <w:tcPr>
            <w:tcW w:w="896" w:type="pct"/>
            <w:noWrap/>
          </w:tcPr>
          <w:p w14:paraId="5301F75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460" w:type="pct"/>
            <w:noWrap/>
          </w:tcPr>
          <w:p w14:paraId="0D7B9E0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&gt;400W</w:t>
            </w:r>
          </w:p>
        </w:tc>
        <w:tc>
          <w:tcPr>
            <w:tcW w:w="1323" w:type="pct"/>
            <w:noWrap/>
          </w:tcPr>
          <w:p w14:paraId="5A6A33F4"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68C44B55"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321" w:type="pct"/>
            <w:vMerge w:val="restart"/>
            <w:noWrap/>
          </w:tcPr>
          <w:p w14:paraId="47220776" w14:textId="31F7C1F8"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High</w:t>
            </w:r>
            <w:r w:rsidR="008C3269">
              <w:rPr>
                <w:rFonts w:eastAsia="Calibri" w:cs="Segoe UI"/>
                <w:color w:val="000000"/>
              </w:rPr>
              <w:t>-</w:t>
            </w:r>
            <w:r w:rsidRPr="00F34CA3">
              <w:rPr>
                <w:rFonts w:eastAsia="Calibri" w:cs="Segoe UI"/>
                <w:color w:val="000000"/>
              </w:rPr>
              <w:t>Pressure Sodium</w:t>
            </w:r>
          </w:p>
        </w:tc>
        <w:tc>
          <w:tcPr>
            <w:tcW w:w="896" w:type="pct"/>
            <w:noWrap/>
          </w:tcPr>
          <w:p w14:paraId="7F85276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460" w:type="pct"/>
            <w:noWrap/>
          </w:tcPr>
          <w:p w14:paraId="3245D66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Pr>
                <w:rFonts w:eastAsia="Calibri" w:cs="Segoe UI"/>
                <w:color w:val="000000"/>
              </w:rPr>
              <w:t>≤</w:t>
            </w:r>
            <w:r w:rsidRPr="00F34CA3">
              <w:rPr>
                <w:rFonts w:eastAsia="Calibri" w:cs="Segoe UI"/>
                <w:color w:val="000000"/>
              </w:rPr>
              <w:t>400W</w:t>
            </w:r>
          </w:p>
        </w:tc>
        <w:tc>
          <w:tcPr>
            <w:tcW w:w="1323" w:type="pct"/>
            <w:noWrap/>
          </w:tcPr>
          <w:p w14:paraId="3C3F704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30CEB63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321" w:type="pct"/>
            <w:vMerge/>
            <w:noWrap/>
          </w:tcPr>
          <w:p w14:paraId="4D8AE467" w14:textId="77777777" w:rsidR="00843C34" w:rsidRPr="00F34CA3" w:rsidRDefault="00843C34" w:rsidP="00AA7818">
            <w:pPr>
              <w:keepNext/>
              <w:keepLines/>
              <w:spacing w:after="40"/>
              <w:jc w:val="center"/>
              <w:rPr>
                <w:rFonts w:eastAsia="Calibri" w:cs="Segoe UI"/>
                <w:color w:val="000000"/>
              </w:rPr>
            </w:pPr>
          </w:p>
        </w:tc>
        <w:tc>
          <w:tcPr>
            <w:tcW w:w="896" w:type="pct"/>
            <w:noWrap/>
          </w:tcPr>
          <w:p w14:paraId="64692C2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460" w:type="pct"/>
            <w:noWrap/>
          </w:tcPr>
          <w:p w14:paraId="31D044E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&gt;400W</w:t>
            </w:r>
          </w:p>
        </w:tc>
        <w:tc>
          <w:tcPr>
            <w:tcW w:w="1323" w:type="pct"/>
            <w:noWrap/>
          </w:tcPr>
          <w:p w14:paraId="1DF08FF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5EFE7CB3"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321" w:type="pct"/>
            <w:vMerge w:val="restart"/>
            <w:noWrap/>
          </w:tcPr>
          <w:p w14:paraId="05322A04"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Metal Halide</w:t>
            </w:r>
          </w:p>
        </w:tc>
        <w:tc>
          <w:tcPr>
            <w:tcW w:w="896" w:type="pct"/>
            <w:noWrap/>
          </w:tcPr>
          <w:p w14:paraId="7082857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460" w:type="pct"/>
            <w:noWrap/>
          </w:tcPr>
          <w:p w14:paraId="5A47E26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Pr>
                <w:rFonts w:eastAsia="Calibri" w:cs="Segoe UI"/>
                <w:color w:val="000000"/>
              </w:rPr>
              <w:t>≤</w:t>
            </w:r>
            <w:r w:rsidRPr="00F34CA3">
              <w:rPr>
                <w:rFonts w:eastAsia="Calibri" w:cs="Segoe UI"/>
                <w:color w:val="000000"/>
              </w:rPr>
              <w:t>400W</w:t>
            </w:r>
          </w:p>
        </w:tc>
        <w:tc>
          <w:tcPr>
            <w:tcW w:w="1323" w:type="pct"/>
            <w:noWrap/>
          </w:tcPr>
          <w:p w14:paraId="12C65D85"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5DC45D93"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321" w:type="pct"/>
            <w:vMerge/>
            <w:noWrap/>
          </w:tcPr>
          <w:p w14:paraId="6402C082" w14:textId="77777777" w:rsidR="00843C34" w:rsidRPr="00F34CA3" w:rsidRDefault="00843C34" w:rsidP="00AA7818">
            <w:pPr>
              <w:keepNext/>
              <w:keepLines/>
              <w:spacing w:after="40"/>
              <w:jc w:val="center"/>
              <w:rPr>
                <w:rFonts w:eastAsia="Calibri" w:cs="Segoe UI"/>
                <w:color w:val="000000"/>
              </w:rPr>
            </w:pPr>
          </w:p>
        </w:tc>
        <w:tc>
          <w:tcPr>
            <w:tcW w:w="896" w:type="pct"/>
            <w:noWrap/>
          </w:tcPr>
          <w:p w14:paraId="58A0212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460" w:type="pct"/>
            <w:noWrap/>
          </w:tcPr>
          <w:p w14:paraId="1223CA0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&gt;400W</w:t>
            </w:r>
          </w:p>
        </w:tc>
        <w:tc>
          <w:tcPr>
            <w:tcW w:w="1323" w:type="pct"/>
            <w:noWrap/>
          </w:tcPr>
          <w:p w14:paraId="020A3C9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bl>
    <w:p w14:paraId="5146CAFD" w14:textId="294AF1E1" w:rsidR="00843C34" w:rsidRPr="00843C34" w:rsidRDefault="000D463A" w:rsidP="000D463A">
      <w:pPr>
        <w:pStyle w:val="Caption"/>
        <w:rPr>
          <w:highlight w:val="yellow"/>
        </w:rPr>
      </w:pPr>
      <w:r>
        <w:t xml:space="preserve">Table </w:t>
      </w:r>
      <w:fldSimple w:instr=" SEQ Table \* ARABIC ">
        <w:r w:rsidR="00C02B88">
          <w:rPr>
            <w:noProof/>
          </w:rPr>
          <w:t>6</w:t>
        </w:r>
      </w:fldSimple>
      <w:r w:rsidR="00843C34" w:rsidRPr="00843C34">
        <w:t>: Lighting Technology Type: LED</w:t>
      </w:r>
    </w:p>
    <w:tbl>
      <w:tblPr>
        <w:tblStyle w:val="BPATable-classic"/>
        <w:tblW w:w="5126" w:type="pct"/>
        <w:tblLayout w:type="fixed"/>
        <w:tblLook w:val="04A0" w:firstRow="1" w:lastRow="0" w:firstColumn="1" w:lastColumn="0" w:noHBand="0" w:noVBand="1"/>
      </w:tblPr>
      <w:tblGrid>
        <w:gridCol w:w="2249"/>
        <w:gridCol w:w="1317"/>
        <w:gridCol w:w="4230"/>
        <w:gridCol w:w="1800"/>
      </w:tblGrid>
      <w:tr w:rsidR="00843C34" w:rsidRPr="00F34CA3" w14:paraId="7E6394CC" w14:textId="77777777" w:rsidTr="00AA7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2" w:type="pct"/>
            <w:noWrap/>
            <w:hideMark/>
          </w:tcPr>
          <w:p w14:paraId="23E61CAF" w14:textId="77777777" w:rsidR="00843C34" w:rsidRPr="00F34CA3" w:rsidRDefault="00843C34" w:rsidP="00AA7818">
            <w:pPr>
              <w:keepLines/>
              <w:spacing w:after="40"/>
              <w:jc w:val="center"/>
              <w:rPr>
                <w:rFonts w:eastAsia="Calibri" w:cs="Segoe UI"/>
                <w:bCs/>
              </w:rPr>
            </w:pPr>
            <w:r w:rsidRPr="00F34CA3">
              <w:rPr>
                <w:rFonts w:eastAsia="Calibri" w:cs="Arial"/>
              </w:rPr>
              <w:t>General Category</w:t>
            </w:r>
          </w:p>
        </w:tc>
        <w:tc>
          <w:tcPr>
            <w:tcW w:w="686" w:type="pct"/>
            <w:noWrap/>
            <w:hideMark/>
          </w:tcPr>
          <w:p w14:paraId="4DE73812" w14:textId="77777777" w:rsidR="00843C34" w:rsidRPr="00F34CA3" w:rsidRDefault="00843C34" w:rsidP="00AA7818">
            <w:pPr>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2204" w:type="pct"/>
            <w:noWrap/>
            <w:hideMark/>
          </w:tcPr>
          <w:p w14:paraId="3A5EE3DB" w14:textId="77777777" w:rsidR="00843C34" w:rsidRPr="00F34CA3" w:rsidRDefault="00843C34" w:rsidP="00AA7818">
            <w:pPr>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938" w:type="pct"/>
            <w:noWrap/>
            <w:hideMark/>
          </w:tcPr>
          <w:p w14:paraId="65580FD0" w14:textId="77777777" w:rsidR="00843C34" w:rsidRPr="00F34CA3" w:rsidRDefault="00843C34" w:rsidP="00AA7818">
            <w:pPr>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1B916E2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4D504813"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A-Type</w:t>
            </w:r>
          </w:p>
        </w:tc>
        <w:tc>
          <w:tcPr>
            <w:tcW w:w="686" w:type="pct"/>
            <w:noWrap/>
          </w:tcPr>
          <w:p w14:paraId="1BE9E56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7711AA5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100W Incandescent Equivalent</w:t>
            </w:r>
          </w:p>
        </w:tc>
        <w:tc>
          <w:tcPr>
            <w:tcW w:w="938" w:type="pct"/>
            <w:noWrap/>
          </w:tcPr>
          <w:p w14:paraId="7BC04E8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2D4D175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353CAC29"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73A5656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2B2F14D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75W Incandescent Equivalent</w:t>
            </w:r>
          </w:p>
        </w:tc>
        <w:tc>
          <w:tcPr>
            <w:tcW w:w="938" w:type="pct"/>
            <w:noWrap/>
          </w:tcPr>
          <w:p w14:paraId="483ED3B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15698E9D"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0185CBEA"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04EC78E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7EE7AFF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60W Incandescent Equivalent</w:t>
            </w:r>
          </w:p>
        </w:tc>
        <w:tc>
          <w:tcPr>
            <w:tcW w:w="938" w:type="pct"/>
            <w:noWrap/>
          </w:tcPr>
          <w:p w14:paraId="19560E2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308B649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0D90E977"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0B593833"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78CDB85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40W Incandescent Equivalent</w:t>
            </w:r>
          </w:p>
        </w:tc>
        <w:tc>
          <w:tcPr>
            <w:tcW w:w="938" w:type="pct"/>
            <w:noWrap/>
          </w:tcPr>
          <w:p w14:paraId="0724F9A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281893C0"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6E9F19FF"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Reflectors</w:t>
            </w:r>
          </w:p>
        </w:tc>
        <w:tc>
          <w:tcPr>
            <w:tcW w:w="686" w:type="pct"/>
            <w:noWrap/>
          </w:tcPr>
          <w:p w14:paraId="68B5325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0A59F4D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MR16</w:t>
            </w:r>
          </w:p>
        </w:tc>
        <w:tc>
          <w:tcPr>
            <w:tcW w:w="938" w:type="pct"/>
            <w:noWrap/>
          </w:tcPr>
          <w:p w14:paraId="381210B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Pin-Base Lamp</w:t>
            </w:r>
          </w:p>
        </w:tc>
      </w:tr>
      <w:tr w:rsidR="00843C34" w:rsidRPr="00F34CA3" w14:paraId="1680180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51E900F8"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72D70A3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3EB02EA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PAR</w:t>
            </w:r>
          </w:p>
        </w:tc>
        <w:tc>
          <w:tcPr>
            <w:tcW w:w="938" w:type="pct"/>
            <w:noWrap/>
          </w:tcPr>
          <w:p w14:paraId="07F9D57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651CD0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4B272C98"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38E6B1D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0540564D"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R/BR</w:t>
            </w:r>
          </w:p>
        </w:tc>
        <w:tc>
          <w:tcPr>
            <w:tcW w:w="938" w:type="pct"/>
            <w:noWrap/>
          </w:tcPr>
          <w:p w14:paraId="103B845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1353D8DC"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1B349A29"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4C0AC4F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5433797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Other Reflectors</w:t>
            </w:r>
          </w:p>
        </w:tc>
        <w:tc>
          <w:tcPr>
            <w:tcW w:w="938" w:type="pct"/>
            <w:noWrap/>
          </w:tcPr>
          <w:p w14:paraId="55C8CC5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D7D709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12B32CB1"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LED Downlights</w:t>
            </w:r>
          </w:p>
        </w:tc>
        <w:tc>
          <w:tcPr>
            <w:tcW w:w="686" w:type="pct"/>
            <w:noWrap/>
          </w:tcPr>
          <w:p w14:paraId="7EC641B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16D2F06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PL Replacement</w:t>
            </w:r>
          </w:p>
        </w:tc>
        <w:tc>
          <w:tcPr>
            <w:tcW w:w="938" w:type="pct"/>
            <w:noWrap/>
          </w:tcPr>
          <w:p w14:paraId="355D75D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Pin-Base Lamp</w:t>
            </w:r>
          </w:p>
        </w:tc>
      </w:tr>
      <w:tr w:rsidR="00843C34" w:rsidRPr="00F34CA3" w14:paraId="4E08F896"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305574BA"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596BC09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15C7289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Pr>
                <w:rFonts w:eastAsia="Calibri" w:cs="Segoe UI"/>
                <w:color w:val="000000"/>
                <w:szCs w:val="20"/>
              </w:rPr>
              <w:t>≤</w:t>
            </w:r>
            <w:r w:rsidRPr="00F34CA3">
              <w:rPr>
                <w:rFonts w:eastAsia="Calibri" w:cs="Segoe UI"/>
                <w:color w:val="000000"/>
                <w:szCs w:val="20"/>
              </w:rPr>
              <w:t>4-inch</w:t>
            </w:r>
          </w:p>
        </w:tc>
        <w:tc>
          <w:tcPr>
            <w:tcW w:w="938" w:type="pct"/>
            <w:noWrap/>
          </w:tcPr>
          <w:p w14:paraId="146DA96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3A7D034C"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49356B5B"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21646C3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2498FC0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&gt;5-inch</w:t>
            </w:r>
          </w:p>
        </w:tc>
        <w:tc>
          <w:tcPr>
            <w:tcW w:w="938" w:type="pct"/>
            <w:noWrap/>
          </w:tcPr>
          <w:p w14:paraId="1C09AEA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27C72FD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68F445E9"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7E2AEA8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4F74836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Pr>
                <w:rFonts w:eastAsia="Calibri" w:cs="Segoe UI"/>
                <w:color w:val="000000"/>
                <w:szCs w:val="20"/>
              </w:rPr>
              <w:t>≤</w:t>
            </w:r>
            <w:r w:rsidRPr="00F34CA3">
              <w:rPr>
                <w:rFonts w:eastAsia="Calibri" w:cs="Segoe UI"/>
                <w:color w:val="000000"/>
                <w:szCs w:val="20"/>
              </w:rPr>
              <w:t>4-inch</w:t>
            </w:r>
          </w:p>
        </w:tc>
        <w:tc>
          <w:tcPr>
            <w:tcW w:w="938" w:type="pct"/>
            <w:noWrap/>
          </w:tcPr>
          <w:p w14:paraId="43E0F29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Retrofit Kit</w:t>
            </w:r>
          </w:p>
        </w:tc>
      </w:tr>
      <w:tr w:rsidR="00843C34" w:rsidRPr="00F34CA3" w14:paraId="6044A4C0"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1F844D83"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319E69B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254A642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&gt;5-inch</w:t>
            </w:r>
          </w:p>
        </w:tc>
        <w:tc>
          <w:tcPr>
            <w:tcW w:w="938" w:type="pct"/>
            <w:noWrap/>
          </w:tcPr>
          <w:p w14:paraId="31F006E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Retrofit Kit</w:t>
            </w:r>
          </w:p>
        </w:tc>
      </w:tr>
      <w:tr w:rsidR="00843C34" w:rsidRPr="00F34CA3" w14:paraId="05487085"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447150BC"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LED Tubes</w:t>
            </w:r>
          </w:p>
        </w:tc>
        <w:tc>
          <w:tcPr>
            <w:tcW w:w="686" w:type="pct"/>
            <w:noWrap/>
          </w:tcPr>
          <w:p w14:paraId="4A33273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2204" w:type="pct"/>
            <w:noWrap/>
          </w:tcPr>
          <w:p w14:paraId="277470E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UL Type A - Plug-and-Play/Direct Replacement</w:t>
            </w:r>
          </w:p>
        </w:tc>
        <w:tc>
          <w:tcPr>
            <w:tcW w:w="938" w:type="pct"/>
            <w:noWrap/>
          </w:tcPr>
          <w:p w14:paraId="391C146D"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54C3C24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47114667"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7CC6BE1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2204" w:type="pct"/>
            <w:noWrap/>
          </w:tcPr>
          <w:p w14:paraId="6F76C4E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UL Type B – Ballast Bypass</w:t>
            </w:r>
          </w:p>
        </w:tc>
        <w:tc>
          <w:tcPr>
            <w:tcW w:w="938" w:type="pct"/>
            <w:noWrap/>
          </w:tcPr>
          <w:p w14:paraId="3A6BCDD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205CD17D"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750151EB"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4EB097A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2204" w:type="pct"/>
            <w:noWrap/>
          </w:tcPr>
          <w:p w14:paraId="67B8036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UL Type A/B – Dual-Mode/Hybrid</w:t>
            </w:r>
          </w:p>
        </w:tc>
        <w:tc>
          <w:tcPr>
            <w:tcW w:w="938" w:type="pct"/>
            <w:noWrap/>
          </w:tcPr>
          <w:p w14:paraId="196705F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66BEA012"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23DD6C72"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0096288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2204" w:type="pct"/>
            <w:noWrap/>
          </w:tcPr>
          <w:p w14:paraId="1B9EB2F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UL Type C – Remote Driver</w:t>
            </w:r>
          </w:p>
        </w:tc>
        <w:tc>
          <w:tcPr>
            <w:tcW w:w="938" w:type="pct"/>
            <w:noWrap/>
          </w:tcPr>
          <w:p w14:paraId="32439BD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277AC5F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3A0FB8A1"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082AD1C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2204" w:type="pct"/>
            <w:noWrap/>
          </w:tcPr>
          <w:p w14:paraId="6DBF931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T5 Replacements</w:t>
            </w:r>
          </w:p>
        </w:tc>
        <w:tc>
          <w:tcPr>
            <w:tcW w:w="938" w:type="pct"/>
            <w:noWrap/>
          </w:tcPr>
          <w:p w14:paraId="697ACF9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63E6287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2C09AD70"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0A4F5C3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4-foot</w:t>
            </w:r>
          </w:p>
        </w:tc>
        <w:tc>
          <w:tcPr>
            <w:tcW w:w="2204" w:type="pct"/>
            <w:noWrap/>
          </w:tcPr>
          <w:p w14:paraId="219131C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w:t>
            </w:r>
          </w:p>
        </w:tc>
        <w:tc>
          <w:tcPr>
            <w:tcW w:w="938" w:type="pct"/>
            <w:noWrap/>
          </w:tcPr>
          <w:p w14:paraId="5A2F4E9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7D8124D5"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0FABD0AD"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Other LED Linear Fixtures</w:t>
            </w:r>
          </w:p>
        </w:tc>
        <w:tc>
          <w:tcPr>
            <w:tcW w:w="686" w:type="pct"/>
            <w:noWrap/>
          </w:tcPr>
          <w:p w14:paraId="4D71361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0B3507DF"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Linear Strip Fixture (Lightbar)</w:t>
            </w:r>
          </w:p>
        </w:tc>
        <w:tc>
          <w:tcPr>
            <w:tcW w:w="938" w:type="pct"/>
            <w:noWrap/>
          </w:tcPr>
          <w:p w14:paraId="0C7B9EA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50CC4F21"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5E6EEEDF"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60CEC5A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7780FC3E"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Panels &lt; 3,500 Lumens</w:t>
            </w:r>
          </w:p>
        </w:tc>
        <w:tc>
          <w:tcPr>
            <w:tcW w:w="938" w:type="pct"/>
            <w:noWrap/>
          </w:tcPr>
          <w:p w14:paraId="2A59C44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1627BD53"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490495AE"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4FEF153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220ECDFB"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 xml:space="preserve">Panels </w:t>
            </w:r>
            <w:r>
              <w:rPr>
                <w:rFonts w:cs="Segoe UI"/>
                <w:color w:val="000000"/>
                <w:szCs w:val="20"/>
              </w:rPr>
              <w:t>≥</w:t>
            </w:r>
            <w:r w:rsidRPr="00F34CA3">
              <w:rPr>
                <w:rFonts w:cs="Segoe UI"/>
                <w:color w:val="000000"/>
                <w:szCs w:val="20"/>
              </w:rPr>
              <w:t xml:space="preserve"> 3,500 Lumens</w:t>
            </w:r>
          </w:p>
        </w:tc>
        <w:tc>
          <w:tcPr>
            <w:tcW w:w="938" w:type="pct"/>
            <w:noWrap/>
          </w:tcPr>
          <w:p w14:paraId="2D00E39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7F9B9F0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0D96C5BD"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6C2C9A0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061F0659"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Troffers and Wraps &lt;3,500 Lumens</w:t>
            </w:r>
          </w:p>
        </w:tc>
        <w:tc>
          <w:tcPr>
            <w:tcW w:w="938" w:type="pct"/>
            <w:noWrap/>
          </w:tcPr>
          <w:p w14:paraId="6F43302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124E6BE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1032008F"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694C160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26F637EE"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 xml:space="preserve">Troffers and Wraps </w:t>
            </w:r>
            <w:r>
              <w:rPr>
                <w:rFonts w:cs="Segoe UI"/>
                <w:color w:val="000000"/>
                <w:szCs w:val="20"/>
              </w:rPr>
              <w:t>≥</w:t>
            </w:r>
            <w:r w:rsidRPr="00F34CA3">
              <w:rPr>
                <w:rFonts w:cs="Segoe UI"/>
                <w:color w:val="000000"/>
                <w:szCs w:val="20"/>
              </w:rPr>
              <w:t>3,500 Lumens</w:t>
            </w:r>
          </w:p>
        </w:tc>
        <w:tc>
          <w:tcPr>
            <w:tcW w:w="938" w:type="pct"/>
            <w:noWrap/>
          </w:tcPr>
          <w:p w14:paraId="4ECC6513"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3DDC50B5" w14:textId="77777777" w:rsidTr="00AA7818">
        <w:trPr>
          <w:trHeight w:val="70"/>
        </w:trPr>
        <w:tc>
          <w:tcPr>
            <w:cnfStyle w:val="001000000000" w:firstRow="0" w:lastRow="0" w:firstColumn="1" w:lastColumn="0" w:oddVBand="0" w:evenVBand="0" w:oddHBand="0" w:evenHBand="0" w:firstRowFirstColumn="0" w:firstRowLastColumn="0" w:lastRowFirstColumn="0" w:lastRowLastColumn="0"/>
            <w:tcW w:w="1172" w:type="pct"/>
            <w:noWrap/>
          </w:tcPr>
          <w:p w14:paraId="658E9399"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Decorative</w:t>
            </w:r>
          </w:p>
        </w:tc>
        <w:tc>
          <w:tcPr>
            <w:tcW w:w="686" w:type="pct"/>
            <w:noWrap/>
          </w:tcPr>
          <w:p w14:paraId="29C13923"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74B9C469"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938" w:type="pct"/>
            <w:noWrap/>
          </w:tcPr>
          <w:p w14:paraId="15B0E20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03247371"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4810F6A3"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Flood Light</w:t>
            </w:r>
          </w:p>
        </w:tc>
        <w:tc>
          <w:tcPr>
            <w:tcW w:w="686" w:type="pct"/>
            <w:noWrap/>
          </w:tcPr>
          <w:p w14:paraId="4DD29E9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241BA6E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cs="Segoe UI"/>
                <w:color w:val="000000"/>
                <w:szCs w:val="20"/>
              </w:rPr>
              <w:t>Screw Terminal Base Flood Lamps</w:t>
            </w:r>
          </w:p>
        </w:tc>
        <w:tc>
          <w:tcPr>
            <w:tcW w:w="938" w:type="pct"/>
            <w:noWrap/>
          </w:tcPr>
          <w:p w14:paraId="53DDE845"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3DE22C20"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286D5765"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Flood Light Fixtures/Luminaires</w:t>
            </w:r>
          </w:p>
        </w:tc>
        <w:tc>
          <w:tcPr>
            <w:tcW w:w="686" w:type="pct"/>
            <w:noWrap/>
          </w:tcPr>
          <w:p w14:paraId="05BE9105"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7ACE105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938" w:type="pct"/>
            <w:noWrap/>
          </w:tcPr>
          <w:p w14:paraId="4E556A7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05B11A9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28C399C0"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LED Decorative Post-Top and Bollard</w:t>
            </w:r>
          </w:p>
        </w:tc>
        <w:tc>
          <w:tcPr>
            <w:tcW w:w="686" w:type="pct"/>
            <w:noWrap/>
          </w:tcPr>
          <w:p w14:paraId="72EE113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3217939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938" w:type="pct"/>
            <w:noWrap/>
          </w:tcPr>
          <w:p w14:paraId="4D85163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4E9A0F1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7655BC96" w14:textId="77777777" w:rsidR="00843C34" w:rsidRPr="00F34CA3" w:rsidRDefault="00843C34" w:rsidP="00AA7818">
            <w:pPr>
              <w:keepLines/>
              <w:spacing w:after="40"/>
              <w:jc w:val="center"/>
              <w:rPr>
                <w:rFonts w:eastAsia="Calibri" w:cs="Segoe UI"/>
                <w:color w:val="000000"/>
                <w:szCs w:val="20"/>
              </w:rPr>
            </w:pPr>
            <w:r w:rsidRPr="00F34CA3">
              <w:rPr>
                <w:rFonts w:eastAsia="Calibri" w:cs="Segoe UI"/>
                <w:color w:val="000000"/>
                <w:szCs w:val="20"/>
              </w:rPr>
              <w:t>LED Other Outdoor Area and Site Fixtures</w:t>
            </w:r>
          </w:p>
        </w:tc>
        <w:tc>
          <w:tcPr>
            <w:tcW w:w="686" w:type="pct"/>
            <w:noWrap/>
          </w:tcPr>
          <w:p w14:paraId="5230CD5D"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354340D4"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&lt;15,000</w:t>
            </w:r>
          </w:p>
        </w:tc>
        <w:tc>
          <w:tcPr>
            <w:tcW w:w="938" w:type="pct"/>
            <w:noWrap/>
          </w:tcPr>
          <w:p w14:paraId="701AC8E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672CA5B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074303F0" w14:textId="77777777" w:rsidR="00843C34" w:rsidRPr="00F34CA3" w:rsidRDefault="00843C34" w:rsidP="00AA7818">
            <w:pPr>
              <w:keepLines/>
              <w:spacing w:after="40"/>
              <w:jc w:val="center"/>
              <w:rPr>
                <w:rFonts w:eastAsia="Calibri" w:cs="Segoe UI"/>
                <w:color w:val="000000"/>
                <w:szCs w:val="20"/>
              </w:rPr>
            </w:pPr>
          </w:p>
        </w:tc>
        <w:tc>
          <w:tcPr>
            <w:tcW w:w="686" w:type="pct"/>
            <w:noWrap/>
          </w:tcPr>
          <w:p w14:paraId="30FAC25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2204" w:type="pct"/>
            <w:noWrap/>
          </w:tcPr>
          <w:p w14:paraId="1EFE4745"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Pr>
                <w:rFonts w:cs="Segoe UI"/>
                <w:color w:val="000000"/>
                <w:szCs w:val="20"/>
              </w:rPr>
              <w:t>≥</w:t>
            </w:r>
            <w:r w:rsidRPr="00F34CA3">
              <w:rPr>
                <w:rFonts w:cs="Segoe UI"/>
                <w:color w:val="000000"/>
                <w:szCs w:val="20"/>
              </w:rPr>
              <w:t>15,000</w:t>
            </w:r>
          </w:p>
        </w:tc>
        <w:tc>
          <w:tcPr>
            <w:tcW w:w="938" w:type="pct"/>
            <w:noWrap/>
          </w:tcPr>
          <w:p w14:paraId="1C00D65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Fixture</w:t>
            </w:r>
          </w:p>
        </w:tc>
      </w:tr>
      <w:tr w:rsidR="00843C34" w:rsidRPr="00F34CA3" w14:paraId="14841486"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36DF62CF"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LED Track Head</w:t>
            </w:r>
          </w:p>
        </w:tc>
        <w:tc>
          <w:tcPr>
            <w:tcW w:w="686" w:type="pct"/>
            <w:noWrap/>
          </w:tcPr>
          <w:p w14:paraId="32DE718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1AB6D33D"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938" w:type="pct"/>
            <w:noWrap/>
          </w:tcPr>
          <w:p w14:paraId="72D29AA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68458FE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2A1404F7"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LED Garage Fixtures</w:t>
            </w:r>
          </w:p>
        </w:tc>
        <w:tc>
          <w:tcPr>
            <w:tcW w:w="686" w:type="pct"/>
            <w:noWrap/>
          </w:tcPr>
          <w:p w14:paraId="5D0F389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2BFBEAC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938" w:type="pct"/>
            <w:noWrap/>
          </w:tcPr>
          <w:p w14:paraId="7A6AA4E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410C2DF0"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4FAF7F18"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LED Canopy Fixtures (e.g., Gas Stations)</w:t>
            </w:r>
          </w:p>
        </w:tc>
        <w:tc>
          <w:tcPr>
            <w:tcW w:w="686" w:type="pct"/>
            <w:noWrap/>
          </w:tcPr>
          <w:p w14:paraId="1AAB893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41BB15F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938" w:type="pct"/>
            <w:noWrap/>
          </w:tcPr>
          <w:p w14:paraId="41464D3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15FB5EB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0B4B2190"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LED Roadway (e.g., Cobra type)</w:t>
            </w:r>
          </w:p>
        </w:tc>
        <w:tc>
          <w:tcPr>
            <w:tcW w:w="686" w:type="pct"/>
            <w:noWrap/>
          </w:tcPr>
          <w:p w14:paraId="5C534ED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0303F9BB"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938" w:type="pct"/>
            <w:noWrap/>
          </w:tcPr>
          <w:p w14:paraId="4A901ED3"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5435C665"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676D900F"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LED Other Form Factors</w:t>
            </w:r>
          </w:p>
        </w:tc>
        <w:tc>
          <w:tcPr>
            <w:tcW w:w="686" w:type="pct"/>
            <w:noWrap/>
          </w:tcPr>
          <w:p w14:paraId="713C79C5"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3818711B"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938" w:type="pct"/>
            <w:noWrap/>
          </w:tcPr>
          <w:p w14:paraId="1CB7DA13"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149867CC"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noWrap/>
          </w:tcPr>
          <w:p w14:paraId="2E08F313"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LED Wall Packs</w:t>
            </w:r>
          </w:p>
        </w:tc>
        <w:tc>
          <w:tcPr>
            <w:tcW w:w="686" w:type="pct"/>
            <w:noWrap/>
          </w:tcPr>
          <w:p w14:paraId="2861E656"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4ECE4131"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938" w:type="pct"/>
            <w:noWrap/>
          </w:tcPr>
          <w:p w14:paraId="59A7C75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2D786706"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val="restart"/>
            <w:noWrap/>
          </w:tcPr>
          <w:p w14:paraId="35D2C03F" w14:textId="77777777" w:rsidR="00843C34" w:rsidRPr="00F34CA3" w:rsidRDefault="00843C34" w:rsidP="00AA7818">
            <w:pPr>
              <w:keepLines/>
              <w:spacing w:after="40"/>
              <w:jc w:val="center"/>
              <w:rPr>
                <w:rFonts w:eastAsia="Calibri" w:cs="Segoe UI"/>
                <w:color w:val="000000"/>
              </w:rPr>
            </w:pPr>
            <w:r w:rsidRPr="00F34CA3">
              <w:rPr>
                <w:rFonts w:eastAsia="Calibri" w:cs="Segoe UI"/>
                <w:color w:val="000000"/>
              </w:rPr>
              <w:t>Industrial Applications</w:t>
            </w:r>
          </w:p>
        </w:tc>
        <w:tc>
          <w:tcPr>
            <w:tcW w:w="686" w:type="pct"/>
            <w:noWrap/>
          </w:tcPr>
          <w:p w14:paraId="71260122"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5A0663CB"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 xml:space="preserve">High-bay </w:t>
            </w:r>
            <w:r>
              <w:rPr>
                <w:rFonts w:eastAsia="Calibri" w:cs="Segoe UI"/>
                <w:color w:val="000000"/>
              </w:rPr>
              <w:t>≥</w:t>
            </w:r>
            <w:r w:rsidRPr="00F34CA3">
              <w:rPr>
                <w:rFonts w:eastAsia="Calibri" w:cs="Segoe UI"/>
                <w:color w:val="000000"/>
              </w:rPr>
              <w:t xml:space="preserve"> 15,000</w:t>
            </w:r>
          </w:p>
        </w:tc>
        <w:tc>
          <w:tcPr>
            <w:tcW w:w="938" w:type="pct"/>
            <w:noWrap/>
          </w:tcPr>
          <w:p w14:paraId="422F590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38650DBD"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7F150B19" w14:textId="77777777" w:rsidR="00843C34" w:rsidRPr="00F34CA3" w:rsidRDefault="00843C34" w:rsidP="00AA7818">
            <w:pPr>
              <w:keepLines/>
              <w:spacing w:after="40"/>
              <w:jc w:val="center"/>
              <w:rPr>
                <w:rFonts w:eastAsia="Calibri" w:cs="Segoe UI"/>
                <w:color w:val="000000"/>
              </w:rPr>
            </w:pPr>
          </w:p>
        </w:tc>
        <w:tc>
          <w:tcPr>
            <w:tcW w:w="686" w:type="pct"/>
            <w:noWrap/>
          </w:tcPr>
          <w:p w14:paraId="6557A794"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6EC4CF6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Low-bay 5000-15,000</w:t>
            </w:r>
          </w:p>
        </w:tc>
        <w:tc>
          <w:tcPr>
            <w:tcW w:w="938" w:type="pct"/>
            <w:noWrap/>
          </w:tcPr>
          <w:p w14:paraId="0F548453"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Fixture</w:t>
            </w:r>
          </w:p>
        </w:tc>
      </w:tr>
      <w:tr w:rsidR="00843C34" w:rsidRPr="00F34CA3" w14:paraId="6C00916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17CCDE3C" w14:textId="77777777" w:rsidR="00843C34" w:rsidRPr="00F34CA3" w:rsidRDefault="00843C34" w:rsidP="00AA7818">
            <w:pPr>
              <w:keepLines/>
              <w:spacing w:after="40"/>
              <w:jc w:val="center"/>
              <w:rPr>
                <w:rFonts w:eastAsia="Calibri" w:cs="Segoe UI"/>
                <w:color w:val="000000"/>
              </w:rPr>
            </w:pPr>
          </w:p>
        </w:tc>
        <w:tc>
          <w:tcPr>
            <w:tcW w:w="686" w:type="pct"/>
            <w:noWrap/>
          </w:tcPr>
          <w:p w14:paraId="29765DB8"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3CF61EFB"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 xml:space="preserve">High-bay </w:t>
            </w:r>
            <w:r>
              <w:rPr>
                <w:rFonts w:eastAsia="Calibri" w:cs="Segoe UI"/>
                <w:color w:val="000000"/>
              </w:rPr>
              <w:t>≥</w:t>
            </w:r>
            <w:r w:rsidRPr="00F34CA3">
              <w:rPr>
                <w:rFonts w:eastAsia="Calibri" w:cs="Segoe UI"/>
                <w:color w:val="000000"/>
              </w:rPr>
              <w:t xml:space="preserve"> 15,000</w:t>
            </w:r>
          </w:p>
        </w:tc>
        <w:tc>
          <w:tcPr>
            <w:tcW w:w="938" w:type="pct"/>
            <w:noWrap/>
          </w:tcPr>
          <w:p w14:paraId="490F536E"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4D38A42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6CD71294" w14:textId="77777777" w:rsidR="00843C34" w:rsidRPr="00F34CA3" w:rsidRDefault="00843C34" w:rsidP="00AA7818">
            <w:pPr>
              <w:keepLines/>
              <w:spacing w:after="40"/>
              <w:jc w:val="center"/>
              <w:rPr>
                <w:rFonts w:eastAsia="Calibri" w:cs="Segoe UI"/>
                <w:color w:val="000000"/>
              </w:rPr>
            </w:pPr>
          </w:p>
        </w:tc>
        <w:tc>
          <w:tcPr>
            <w:tcW w:w="686" w:type="pct"/>
            <w:noWrap/>
          </w:tcPr>
          <w:p w14:paraId="11F0A2D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57A3DB4F"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Low-bay 5000</w:t>
            </w:r>
            <w:r>
              <w:rPr>
                <w:rFonts w:eastAsia="Calibri" w:cs="Segoe UI"/>
                <w:color w:val="000000"/>
              </w:rPr>
              <w:t>–</w:t>
            </w:r>
            <w:r w:rsidRPr="00F34CA3">
              <w:rPr>
                <w:rFonts w:eastAsia="Calibri" w:cs="Segoe UI"/>
                <w:color w:val="000000"/>
              </w:rPr>
              <w:t>15,000</w:t>
            </w:r>
          </w:p>
        </w:tc>
        <w:tc>
          <w:tcPr>
            <w:tcW w:w="938" w:type="pct"/>
            <w:noWrap/>
          </w:tcPr>
          <w:p w14:paraId="4421514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Mogul-Base Lamp</w:t>
            </w:r>
          </w:p>
        </w:tc>
      </w:tr>
      <w:tr w:rsidR="00843C34" w:rsidRPr="00F34CA3" w14:paraId="439A4154"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1172" w:type="pct"/>
            <w:vMerge/>
            <w:noWrap/>
          </w:tcPr>
          <w:p w14:paraId="10FE5A51" w14:textId="77777777" w:rsidR="00843C34" w:rsidRPr="00F34CA3" w:rsidRDefault="00843C34" w:rsidP="00AA7818">
            <w:pPr>
              <w:keepLines/>
              <w:spacing w:after="40"/>
              <w:jc w:val="center"/>
              <w:rPr>
                <w:rFonts w:eastAsia="Calibri" w:cs="Segoe UI"/>
                <w:color w:val="000000"/>
              </w:rPr>
            </w:pPr>
          </w:p>
        </w:tc>
        <w:tc>
          <w:tcPr>
            <w:tcW w:w="686" w:type="pct"/>
            <w:noWrap/>
          </w:tcPr>
          <w:p w14:paraId="08DB895B"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204" w:type="pct"/>
            <w:noWrap/>
          </w:tcPr>
          <w:p w14:paraId="693116D0"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Medium Base Corn Lamps</w:t>
            </w:r>
          </w:p>
        </w:tc>
        <w:tc>
          <w:tcPr>
            <w:tcW w:w="938" w:type="pct"/>
            <w:noWrap/>
          </w:tcPr>
          <w:p w14:paraId="1B451097"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Lamp</w:t>
            </w:r>
          </w:p>
        </w:tc>
      </w:tr>
    </w:tbl>
    <w:p w14:paraId="0FC91081" w14:textId="61DC6805" w:rsidR="00843C34" w:rsidRPr="00843C34" w:rsidRDefault="000D463A" w:rsidP="000D463A">
      <w:pPr>
        <w:pStyle w:val="Caption"/>
        <w:rPr>
          <w:highlight w:val="yellow"/>
        </w:rPr>
      </w:pPr>
      <w:r>
        <w:t xml:space="preserve">Table </w:t>
      </w:r>
      <w:fldSimple w:instr=" SEQ Table \* ARABIC ">
        <w:r w:rsidR="00C02B88">
          <w:rPr>
            <w:noProof/>
          </w:rPr>
          <w:t>7</w:t>
        </w:r>
      </w:fldSimple>
      <w:r>
        <w:t>:</w:t>
      </w:r>
      <w:r w:rsidR="00843C34" w:rsidRPr="00843C34">
        <w:t xml:space="preserve"> Lighting Technology Type: Incandescent</w:t>
      </w:r>
    </w:p>
    <w:tbl>
      <w:tblPr>
        <w:tblStyle w:val="BPATable-classic"/>
        <w:tblW w:w="9493" w:type="dxa"/>
        <w:tblLayout w:type="fixed"/>
        <w:tblLook w:val="04A0" w:firstRow="1" w:lastRow="0" w:firstColumn="1" w:lastColumn="0" w:noHBand="0" w:noVBand="1"/>
      </w:tblPr>
      <w:tblGrid>
        <w:gridCol w:w="2635"/>
        <w:gridCol w:w="1332"/>
        <w:gridCol w:w="3587"/>
        <w:gridCol w:w="1939"/>
      </w:tblGrid>
      <w:tr w:rsidR="00843C34" w:rsidRPr="00F34CA3" w14:paraId="2FF2E010" w14:textId="77777777" w:rsidTr="00AA7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5" w:type="dxa"/>
            <w:noWrap/>
            <w:hideMark/>
          </w:tcPr>
          <w:p w14:paraId="2F8AE84D" w14:textId="77777777" w:rsidR="00843C34" w:rsidRPr="00F34CA3" w:rsidRDefault="00843C34" w:rsidP="00AA7818">
            <w:pPr>
              <w:widowControl w:val="0"/>
              <w:spacing w:after="40"/>
              <w:jc w:val="center"/>
              <w:rPr>
                <w:rFonts w:eastAsia="Calibri" w:cs="Segoe UI"/>
                <w:bCs/>
              </w:rPr>
            </w:pPr>
            <w:r w:rsidRPr="00F34CA3">
              <w:rPr>
                <w:rFonts w:eastAsia="Calibri" w:cs="Arial"/>
              </w:rPr>
              <w:t>General Category</w:t>
            </w:r>
          </w:p>
        </w:tc>
        <w:tc>
          <w:tcPr>
            <w:tcW w:w="1332" w:type="dxa"/>
            <w:noWrap/>
            <w:hideMark/>
          </w:tcPr>
          <w:p w14:paraId="7EFE97BA" w14:textId="77777777" w:rsidR="00843C34" w:rsidRPr="00F34CA3" w:rsidRDefault="00843C34" w:rsidP="00AA7818">
            <w:pPr>
              <w:widowControl w:val="0"/>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3587" w:type="dxa"/>
            <w:noWrap/>
            <w:hideMark/>
          </w:tcPr>
          <w:p w14:paraId="080FBEE6" w14:textId="77777777" w:rsidR="00843C34" w:rsidRPr="00F34CA3" w:rsidRDefault="00843C34" w:rsidP="00AA7818">
            <w:pPr>
              <w:widowControl w:val="0"/>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1939" w:type="dxa"/>
            <w:noWrap/>
            <w:hideMark/>
          </w:tcPr>
          <w:p w14:paraId="5F1B28A3" w14:textId="77777777" w:rsidR="00843C34" w:rsidRPr="00F34CA3" w:rsidRDefault="00843C34" w:rsidP="00AA7818">
            <w:pPr>
              <w:widowControl w:val="0"/>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0D6540B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val="restart"/>
            <w:noWrap/>
          </w:tcPr>
          <w:p w14:paraId="138AA067"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A-Type</w:t>
            </w:r>
          </w:p>
        </w:tc>
        <w:tc>
          <w:tcPr>
            <w:tcW w:w="1332" w:type="dxa"/>
            <w:noWrap/>
          </w:tcPr>
          <w:p w14:paraId="48385A0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34E354E7"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100W Incandescent Equivalent</w:t>
            </w:r>
          </w:p>
        </w:tc>
        <w:tc>
          <w:tcPr>
            <w:tcW w:w="1939" w:type="dxa"/>
            <w:noWrap/>
          </w:tcPr>
          <w:p w14:paraId="103CF3E5"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3855AA2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007103AE" w14:textId="77777777" w:rsidR="00843C34" w:rsidRPr="00F34CA3" w:rsidRDefault="00843C34" w:rsidP="00AA7818">
            <w:pPr>
              <w:widowControl w:val="0"/>
              <w:spacing w:after="40"/>
              <w:jc w:val="center"/>
              <w:rPr>
                <w:rFonts w:eastAsia="Calibri" w:cs="Segoe UI"/>
                <w:color w:val="000000"/>
                <w:szCs w:val="20"/>
              </w:rPr>
            </w:pPr>
          </w:p>
        </w:tc>
        <w:tc>
          <w:tcPr>
            <w:tcW w:w="1332" w:type="dxa"/>
            <w:noWrap/>
          </w:tcPr>
          <w:p w14:paraId="0AA6D11A"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3CB09056"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75W Incandescent Equivalent</w:t>
            </w:r>
          </w:p>
        </w:tc>
        <w:tc>
          <w:tcPr>
            <w:tcW w:w="1939" w:type="dxa"/>
            <w:noWrap/>
          </w:tcPr>
          <w:p w14:paraId="5C9E19EE"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42663B3D"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496DB38C" w14:textId="77777777" w:rsidR="00843C34" w:rsidRPr="00F34CA3" w:rsidRDefault="00843C34" w:rsidP="00AA7818">
            <w:pPr>
              <w:widowControl w:val="0"/>
              <w:spacing w:after="40"/>
              <w:jc w:val="center"/>
              <w:rPr>
                <w:rFonts w:eastAsia="Calibri" w:cs="Segoe UI"/>
                <w:color w:val="000000"/>
                <w:szCs w:val="20"/>
              </w:rPr>
            </w:pPr>
          </w:p>
        </w:tc>
        <w:tc>
          <w:tcPr>
            <w:tcW w:w="1332" w:type="dxa"/>
            <w:noWrap/>
          </w:tcPr>
          <w:p w14:paraId="108DD4B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2C26DFBA"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60W Incandescent Equivalent</w:t>
            </w:r>
          </w:p>
        </w:tc>
        <w:tc>
          <w:tcPr>
            <w:tcW w:w="1939" w:type="dxa"/>
            <w:noWrap/>
          </w:tcPr>
          <w:p w14:paraId="6A61BB95"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3D1C7CCD"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66FB7384" w14:textId="77777777" w:rsidR="00843C34" w:rsidRPr="00F34CA3" w:rsidRDefault="00843C34" w:rsidP="00AA7818">
            <w:pPr>
              <w:widowControl w:val="0"/>
              <w:spacing w:after="40"/>
              <w:jc w:val="center"/>
              <w:rPr>
                <w:rFonts w:eastAsia="Calibri" w:cs="Segoe UI"/>
                <w:color w:val="000000"/>
                <w:szCs w:val="20"/>
              </w:rPr>
            </w:pPr>
          </w:p>
        </w:tc>
        <w:tc>
          <w:tcPr>
            <w:tcW w:w="1332" w:type="dxa"/>
            <w:noWrap/>
          </w:tcPr>
          <w:p w14:paraId="578B7F6B"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1DA41E5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40W Incandescent Equivalent</w:t>
            </w:r>
          </w:p>
        </w:tc>
        <w:tc>
          <w:tcPr>
            <w:tcW w:w="1939" w:type="dxa"/>
            <w:noWrap/>
          </w:tcPr>
          <w:p w14:paraId="3C2D9E3E"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E4FEAE8"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val="restart"/>
            <w:noWrap/>
          </w:tcPr>
          <w:p w14:paraId="08EC9ADE"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Reflectors</w:t>
            </w:r>
          </w:p>
        </w:tc>
        <w:tc>
          <w:tcPr>
            <w:tcW w:w="1332" w:type="dxa"/>
            <w:noWrap/>
          </w:tcPr>
          <w:p w14:paraId="77FDFAAE"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6586E2B7"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R/BR</w:t>
            </w:r>
          </w:p>
        </w:tc>
        <w:tc>
          <w:tcPr>
            <w:tcW w:w="1939" w:type="dxa"/>
            <w:noWrap/>
          </w:tcPr>
          <w:p w14:paraId="02B469EA"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F315246"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3AF3A944" w14:textId="77777777" w:rsidR="00843C34" w:rsidRPr="00F34CA3" w:rsidRDefault="00843C34" w:rsidP="00AA7818">
            <w:pPr>
              <w:widowControl w:val="0"/>
              <w:spacing w:after="40"/>
              <w:jc w:val="center"/>
              <w:rPr>
                <w:rFonts w:eastAsia="Calibri" w:cs="Segoe UI"/>
                <w:color w:val="000000"/>
                <w:szCs w:val="20"/>
              </w:rPr>
            </w:pPr>
          </w:p>
        </w:tc>
        <w:tc>
          <w:tcPr>
            <w:tcW w:w="1332" w:type="dxa"/>
            <w:noWrap/>
          </w:tcPr>
          <w:p w14:paraId="30B15E29"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1F76172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PAR</w:t>
            </w:r>
          </w:p>
        </w:tc>
        <w:tc>
          <w:tcPr>
            <w:tcW w:w="1939" w:type="dxa"/>
            <w:noWrap/>
          </w:tcPr>
          <w:p w14:paraId="1063C961"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4F546A0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022E1E93" w14:textId="77777777" w:rsidR="00843C34" w:rsidRPr="00F34CA3" w:rsidRDefault="00843C34" w:rsidP="00AA7818">
            <w:pPr>
              <w:widowControl w:val="0"/>
              <w:spacing w:after="40"/>
              <w:jc w:val="center"/>
              <w:rPr>
                <w:rFonts w:eastAsia="Calibri" w:cs="Segoe UI"/>
                <w:color w:val="000000"/>
                <w:szCs w:val="20"/>
              </w:rPr>
            </w:pPr>
          </w:p>
        </w:tc>
        <w:tc>
          <w:tcPr>
            <w:tcW w:w="1332" w:type="dxa"/>
            <w:noWrap/>
          </w:tcPr>
          <w:p w14:paraId="3E57AA65"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4430B8F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 Reflectors</w:t>
            </w:r>
          </w:p>
        </w:tc>
        <w:tc>
          <w:tcPr>
            <w:tcW w:w="1939" w:type="dxa"/>
            <w:noWrap/>
          </w:tcPr>
          <w:p w14:paraId="1C3599A7"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701639A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noWrap/>
          </w:tcPr>
          <w:p w14:paraId="747501AF"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lastRenderedPageBreak/>
              <w:t>Decorative</w:t>
            </w:r>
          </w:p>
        </w:tc>
        <w:tc>
          <w:tcPr>
            <w:tcW w:w="1332" w:type="dxa"/>
            <w:noWrap/>
          </w:tcPr>
          <w:p w14:paraId="47CE80A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582B281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1939" w:type="dxa"/>
            <w:noWrap/>
          </w:tcPr>
          <w:p w14:paraId="0AAED461"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751B13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noWrap/>
          </w:tcPr>
          <w:p w14:paraId="1FAF4A50"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Flood Light</w:t>
            </w:r>
          </w:p>
        </w:tc>
        <w:tc>
          <w:tcPr>
            <w:tcW w:w="1332" w:type="dxa"/>
            <w:noWrap/>
          </w:tcPr>
          <w:p w14:paraId="22C295D6"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587" w:type="dxa"/>
            <w:noWrap/>
          </w:tcPr>
          <w:p w14:paraId="1DFB041E"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Screw Terminal Base Flood Lamps</w:t>
            </w:r>
          </w:p>
        </w:tc>
        <w:tc>
          <w:tcPr>
            <w:tcW w:w="1939" w:type="dxa"/>
            <w:noWrap/>
          </w:tcPr>
          <w:p w14:paraId="41D9B06A"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bl>
    <w:p w14:paraId="74087B98" w14:textId="77777777" w:rsidR="00843C34" w:rsidRPr="00F34CA3" w:rsidRDefault="00843C34" w:rsidP="00AA7818">
      <w:pPr>
        <w:pStyle w:val="Source"/>
        <w:jc w:val="center"/>
      </w:pPr>
    </w:p>
    <w:p w14:paraId="047A76A6" w14:textId="3B9F7978" w:rsidR="00843C34" w:rsidRPr="00843C34" w:rsidRDefault="000D463A" w:rsidP="000D463A">
      <w:pPr>
        <w:pStyle w:val="Caption"/>
      </w:pPr>
      <w:r>
        <w:t xml:space="preserve">Table </w:t>
      </w:r>
      <w:fldSimple w:instr=" SEQ Table \* ARABIC ">
        <w:r w:rsidR="00C02B88">
          <w:rPr>
            <w:noProof/>
          </w:rPr>
          <w:t>8</w:t>
        </w:r>
      </w:fldSimple>
      <w:r>
        <w:t>:</w:t>
      </w:r>
      <w:r w:rsidR="00843C34" w:rsidRPr="00843C34">
        <w:t xml:space="preserve"> Lighting Technology Type: Halogen</w:t>
      </w:r>
    </w:p>
    <w:tbl>
      <w:tblPr>
        <w:tblStyle w:val="BPATable-classic"/>
        <w:tblW w:w="0" w:type="auto"/>
        <w:tblLayout w:type="fixed"/>
        <w:tblLook w:val="04A0" w:firstRow="1" w:lastRow="0" w:firstColumn="1" w:lastColumn="0" w:noHBand="0" w:noVBand="1"/>
      </w:tblPr>
      <w:tblGrid>
        <w:gridCol w:w="2430"/>
        <w:gridCol w:w="1305"/>
        <w:gridCol w:w="3155"/>
        <w:gridCol w:w="1939"/>
      </w:tblGrid>
      <w:tr w:rsidR="00843C34" w:rsidRPr="00F34CA3" w14:paraId="418F5E72" w14:textId="77777777" w:rsidTr="00AA7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0" w:type="dxa"/>
            <w:noWrap/>
            <w:hideMark/>
          </w:tcPr>
          <w:p w14:paraId="69267EAA" w14:textId="77777777" w:rsidR="00843C34" w:rsidRPr="00F34CA3" w:rsidRDefault="00843C34" w:rsidP="00AA7818">
            <w:pPr>
              <w:keepNext/>
              <w:keepLines/>
              <w:spacing w:after="40"/>
              <w:jc w:val="center"/>
              <w:rPr>
                <w:rFonts w:eastAsia="Calibri" w:cs="Segoe UI"/>
                <w:bCs/>
              </w:rPr>
            </w:pPr>
            <w:r w:rsidRPr="00F34CA3">
              <w:rPr>
                <w:rFonts w:eastAsia="Calibri" w:cs="Arial"/>
              </w:rPr>
              <w:t>General Category</w:t>
            </w:r>
          </w:p>
        </w:tc>
        <w:tc>
          <w:tcPr>
            <w:tcW w:w="1305" w:type="dxa"/>
            <w:noWrap/>
            <w:hideMark/>
          </w:tcPr>
          <w:p w14:paraId="04D64117"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3155" w:type="dxa"/>
            <w:noWrap/>
            <w:hideMark/>
          </w:tcPr>
          <w:p w14:paraId="2A8BB01A"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1939" w:type="dxa"/>
            <w:noWrap/>
            <w:hideMark/>
          </w:tcPr>
          <w:p w14:paraId="4BEF9762"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32B8051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val="restart"/>
            <w:noWrap/>
          </w:tcPr>
          <w:p w14:paraId="34271F12"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A-Type</w:t>
            </w:r>
          </w:p>
        </w:tc>
        <w:tc>
          <w:tcPr>
            <w:tcW w:w="1305" w:type="dxa"/>
            <w:noWrap/>
          </w:tcPr>
          <w:p w14:paraId="5BDFBF5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31BC699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100W Incandescent Equivalent</w:t>
            </w:r>
          </w:p>
        </w:tc>
        <w:tc>
          <w:tcPr>
            <w:tcW w:w="1939" w:type="dxa"/>
            <w:noWrap/>
          </w:tcPr>
          <w:p w14:paraId="242B786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06D6EFB2"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58A89AEC"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574C3FD3"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233977A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75W Incandescent Equivalent</w:t>
            </w:r>
          </w:p>
        </w:tc>
        <w:tc>
          <w:tcPr>
            <w:tcW w:w="1939" w:type="dxa"/>
            <w:noWrap/>
          </w:tcPr>
          <w:p w14:paraId="6EB091D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23876333"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7EB6415F"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30F6E52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0AC2DF5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60W Incandescent Equivalent</w:t>
            </w:r>
          </w:p>
        </w:tc>
        <w:tc>
          <w:tcPr>
            <w:tcW w:w="1939" w:type="dxa"/>
            <w:noWrap/>
          </w:tcPr>
          <w:p w14:paraId="70FFE1D4"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70C1471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1BF565A2"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3048C3F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72933CA3"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40W Incandescent Equivalent</w:t>
            </w:r>
          </w:p>
        </w:tc>
        <w:tc>
          <w:tcPr>
            <w:tcW w:w="1939" w:type="dxa"/>
            <w:noWrap/>
          </w:tcPr>
          <w:p w14:paraId="158A2BD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3F49DDF5"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val="restart"/>
            <w:noWrap/>
          </w:tcPr>
          <w:p w14:paraId="41D1826B"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Flood Light</w:t>
            </w:r>
          </w:p>
        </w:tc>
        <w:tc>
          <w:tcPr>
            <w:tcW w:w="1305" w:type="dxa"/>
            <w:noWrap/>
          </w:tcPr>
          <w:p w14:paraId="1D8511E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150D566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1939" w:type="dxa"/>
            <w:noWrap/>
          </w:tcPr>
          <w:p w14:paraId="3BB8E584"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Fixture</w:t>
            </w:r>
          </w:p>
        </w:tc>
      </w:tr>
      <w:tr w:rsidR="00843C34" w:rsidRPr="00F34CA3" w14:paraId="2002FFF2"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0FD4D427"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72DB8EF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6C089FC6" w14:textId="77777777" w:rsidR="00843C34" w:rsidRPr="00F34CA3" w:rsidRDefault="00843C34" w:rsidP="00AA7818">
            <w:pPr>
              <w:jc w:val="center"/>
              <w:cnfStyle w:val="000000000000" w:firstRow="0" w:lastRow="0" w:firstColumn="0" w:lastColumn="0" w:oddVBand="0" w:evenVBand="0" w:oddHBand="0" w:evenHBand="0" w:firstRowFirstColumn="0" w:firstRowLastColumn="0" w:lastRowFirstColumn="0" w:lastRowLastColumn="0"/>
              <w:rPr>
                <w:rFonts w:cs="Segoe UI"/>
                <w:color w:val="000000"/>
                <w:szCs w:val="20"/>
              </w:rPr>
            </w:pPr>
            <w:r w:rsidRPr="00F34CA3">
              <w:rPr>
                <w:rFonts w:cs="Segoe UI"/>
                <w:color w:val="000000"/>
                <w:szCs w:val="20"/>
              </w:rPr>
              <w:t>Screw Terminal Base Flood Lamps</w:t>
            </w:r>
          </w:p>
        </w:tc>
        <w:tc>
          <w:tcPr>
            <w:tcW w:w="1939" w:type="dxa"/>
            <w:noWrap/>
          </w:tcPr>
          <w:p w14:paraId="21E66D7C" w14:textId="77777777" w:rsidR="00843C34" w:rsidRPr="00F34CA3" w:rsidRDefault="00843C34" w:rsidP="00AA7818">
            <w:pPr>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Lamp</w:t>
            </w:r>
          </w:p>
        </w:tc>
      </w:tr>
      <w:tr w:rsidR="00843C34" w:rsidRPr="00F34CA3" w14:paraId="3EE74213"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val="restart"/>
            <w:noWrap/>
          </w:tcPr>
          <w:p w14:paraId="2E21AED9"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Reflectors</w:t>
            </w:r>
          </w:p>
        </w:tc>
        <w:tc>
          <w:tcPr>
            <w:tcW w:w="1305" w:type="dxa"/>
            <w:noWrap/>
          </w:tcPr>
          <w:p w14:paraId="5D3D7CB1"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1AE5858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R/BR</w:t>
            </w:r>
          </w:p>
        </w:tc>
        <w:tc>
          <w:tcPr>
            <w:tcW w:w="1939" w:type="dxa"/>
            <w:noWrap/>
          </w:tcPr>
          <w:p w14:paraId="7240E6E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16E3254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48DEAD0A"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21A1462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430E1B9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PAR</w:t>
            </w:r>
          </w:p>
        </w:tc>
        <w:tc>
          <w:tcPr>
            <w:tcW w:w="1939" w:type="dxa"/>
            <w:noWrap/>
          </w:tcPr>
          <w:p w14:paraId="0F464C2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182AF5A"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231A7488"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48F5476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04C1AEB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MR16</w:t>
            </w:r>
          </w:p>
        </w:tc>
        <w:tc>
          <w:tcPr>
            <w:tcW w:w="1939" w:type="dxa"/>
            <w:noWrap/>
          </w:tcPr>
          <w:p w14:paraId="15574F1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Pin-Base Lamp</w:t>
            </w:r>
          </w:p>
        </w:tc>
      </w:tr>
      <w:tr w:rsidR="00843C34" w:rsidRPr="00F34CA3" w14:paraId="533A5F7C"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vMerge/>
            <w:noWrap/>
          </w:tcPr>
          <w:p w14:paraId="1D8DE2CB" w14:textId="77777777" w:rsidR="00843C34" w:rsidRPr="00F34CA3" w:rsidRDefault="00843C34" w:rsidP="00AA7818">
            <w:pPr>
              <w:keepNext/>
              <w:keepLines/>
              <w:spacing w:after="40"/>
              <w:jc w:val="center"/>
              <w:rPr>
                <w:rFonts w:eastAsia="Calibri" w:cs="Segoe UI"/>
                <w:color w:val="000000"/>
                <w:szCs w:val="20"/>
              </w:rPr>
            </w:pPr>
          </w:p>
        </w:tc>
        <w:tc>
          <w:tcPr>
            <w:tcW w:w="1305" w:type="dxa"/>
            <w:noWrap/>
          </w:tcPr>
          <w:p w14:paraId="67424A14"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7520D44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 Reflectors</w:t>
            </w:r>
          </w:p>
        </w:tc>
        <w:tc>
          <w:tcPr>
            <w:tcW w:w="1939" w:type="dxa"/>
            <w:noWrap/>
          </w:tcPr>
          <w:p w14:paraId="077CA10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06F703A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430" w:type="dxa"/>
            <w:noWrap/>
          </w:tcPr>
          <w:p w14:paraId="016DFF01" w14:textId="77777777" w:rsidR="00843C34" w:rsidRPr="00F34CA3" w:rsidRDefault="00843C34" w:rsidP="00AA7818">
            <w:pPr>
              <w:keepNext/>
              <w:keepLines/>
              <w:spacing w:after="40"/>
              <w:jc w:val="center"/>
              <w:rPr>
                <w:rFonts w:eastAsia="Calibri" w:cs="Segoe UI"/>
                <w:color w:val="000000"/>
                <w:szCs w:val="20"/>
              </w:rPr>
            </w:pPr>
            <w:r w:rsidRPr="00F34CA3">
              <w:rPr>
                <w:rFonts w:eastAsia="Calibri" w:cs="Segoe UI"/>
                <w:color w:val="000000"/>
                <w:szCs w:val="20"/>
              </w:rPr>
              <w:t>Decorative</w:t>
            </w:r>
          </w:p>
        </w:tc>
        <w:tc>
          <w:tcPr>
            <w:tcW w:w="1305" w:type="dxa"/>
            <w:noWrap/>
          </w:tcPr>
          <w:p w14:paraId="73DC6C8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155" w:type="dxa"/>
            <w:noWrap/>
          </w:tcPr>
          <w:p w14:paraId="6A3B71F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1939" w:type="dxa"/>
            <w:noWrap/>
          </w:tcPr>
          <w:p w14:paraId="05902C1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bl>
    <w:p w14:paraId="4D5507F2" w14:textId="77777777" w:rsidR="00843C34" w:rsidRPr="00F34CA3" w:rsidRDefault="00843C34" w:rsidP="00AA7818">
      <w:pPr>
        <w:pStyle w:val="Source"/>
        <w:jc w:val="center"/>
      </w:pPr>
    </w:p>
    <w:p w14:paraId="521EB1AB" w14:textId="1959197A" w:rsidR="00843C34" w:rsidRPr="00843C34" w:rsidRDefault="000D463A" w:rsidP="000D463A">
      <w:pPr>
        <w:pStyle w:val="Caption"/>
      </w:pPr>
      <w:r>
        <w:t xml:space="preserve">Table </w:t>
      </w:r>
      <w:fldSimple w:instr=" SEQ Table \* ARABIC ">
        <w:r w:rsidR="00C02B88">
          <w:rPr>
            <w:noProof/>
          </w:rPr>
          <w:t>9</w:t>
        </w:r>
      </w:fldSimple>
      <w:r>
        <w:t>:</w:t>
      </w:r>
      <w:r w:rsidR="00843C34" w:rsidRPr="00843C34">
        <w:t xml:space="preserve"> Lighting Technology Type: CFL</w:t>
      </w:r>
    </w:p>
    <w:tbl>
      <w:tblPr>
        <w:tblStyle w:val="BPATable-classic"/>
        <w:tblW w:w="0" w:type="auto"/>
        <w:tblLayout w:type="fixed"/>
        <w:tblLook w:val="04A0" w:firstRow="1" w:lastRow="0" w:firstColumn="1" w:lastColumn="0" w:noHBand="0" w:noVBand="1"/>
      </w:tblPr>
      <w:tblGrid>
        <w:gridCol w:w="2635"/>
        <w:gridCol w:w="1235"/>
        <w:gridCol w:w="3239"/>
        <w:gridCol w:w="1939"/>
      </w:tblGrid>
      <w:tr w:rsidR="00843C34" w:rsidRPr="00F34CA3" w14:paraId="4363058C" w14:textId="77777777" w:rsidTr="00AA7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35" w:type="dxa"/>
            <w:noWrap/>
            <w:hideMark/>
          </w:tcPr>
          <w:p w14:paraId="7E92D664" w14:textId="77777777" w:rsidR="00843C34" w:rsidRPr="00F34CA3" w:rsidRDefault="00843C34" w:rsidP="00AA7818">
            <w:pPr>
              <w:widowControl w:val="0"/>
              <w:spacing w:after="40"/>
              <w:jc w:val="center"/>
              <w:rPr>
                <w:rFonts w:eastAsia="Calibri" w:cs="Segoe UI"/>
                <w:bCs/>
              </w:rPr>
            </w:pPr>
            <w:r w:rsidRPr="00F34CA3">
              <w:rPr>
                <w:rFonts w:eastAsia="Calibri" w:cs="Arial"/>
              </w:rPr>
              <w:t>General Category</w:t>
            </w:r>
          </w:p>
        </w:tc>
        <w:tc>
          <w:tcPr>
            <w:tcW w:w="1235" w:type="dxa"/>
            <w:noWrap/>
            <w:hideMark/>
          </w:tcPr>
          <w:p w14:paraId="6237C265" w14:textId="77777777" w:rsidR="00843C34" w:rsidRPr="00F34CA3" w:rsidRDefault="00843C34" w:rsidP="00AA7818">
            <w:pPr>
              <w:widowControl w:val="0"/>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3239" w:type="dxa"/>
            <w:noWrap/>
            <w:hideMark/>
          </w:tcPr>
          <w:p w14:paraId="10299781" w14:textId="77777777" w:rsidR="00843C34" w:rsidRPr="00F34CA3" w:rsidRDefault="00843C34" w:rsidP="00AA7818">
            <w:pPr>
              <w:widowControl w:val="0"/>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1939" w:type="dxa"/>
            <w:noWrap/>
            <w:hideMark/>
          </w:tcPr>
          <w:p w14:paraId="26A5D82D" w14:textId="77777777" w:rsidR="00843C34" w:rsidRPr="00F34CA3" w:rsidRDefault="00843C34" w:rsidP="00AA7818">
            <w:pPr>
              <w:widowControl w:val="0"/>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07DC14B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val="restart"/>
            <w:noWrap/>
          </w:tcPr>
          <w:p w14:paraId="48D8A579"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A-Type</w:t>
            </w:r>
          </w:p>
        </w:tc>
        <w:tc>
          <w:tcPr>
            <w:tcW w:w="1235" w:type="dxa"/>
            <w:noWrap/>
          </w:tcPr>
          <w:p w14:paraId="3A50F616"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4EFD8FBF"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100W Incandescent Equivalent</w:t>
            </w:r>
          </w:p>
        </w:tc>
        <w:tc>
          <w:tcPr>
            <w:tcW w:w="1939" w:type="dxa"/>
            <w:noWrap/>
          </w:tcPr>
          <w:p w14:paraId="70805F7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36A71FA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21140701"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185D6644"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5228FB52"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75W Incandescent Equivalent</w:t>
            </w:r>
          </w:p>
        </w:tc>
        <w:tc>
          <w:tcPr>
            <w:tcW w:w="1939" w:type="dxa"/>
            <w:noWrap/>
          </w:tcPr>
          <w:p w14:paraId="093E509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7480BCCC"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44761F3C"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02992B46"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491DD42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60W Incandescent Equivalent</w:t>
            </w:r>
          </w:p>
        </w:tc>
        <w:tc>
          <w:tcPr>
            <w:tcW w:w="1939" w:type="dxa"/>
            <w:noWrap/>
          </w:tcPr>
          <w:p w14:paraId="1861A196"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31AA9055"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09D7DEFD"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39925392"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3D9CE2B4"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40W Incandescent Equivalent</w:t>
            </w:r>
          </w:p>
        </w:tc>
        <w:tc>
          <w:tcPr>
            <w:tcW w:w="1939" w:type="dxa"/>
            <w:noWrap/>
          </w:tcPr>
          <w:p w14:paraId="46B1E4F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613C65CC"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noWrap/>
          </w:tcPr>
          <w:p w14:paraId="776FDF39"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Flood Light</w:t>
            </w:r>
          </w:p>
        </w:tc>
        <w:tc>
          <w:tcPr>
            <w:tcW w:w="1235" w:type="dxa"/>
            <w:noWrap/>
          </w:tcPr>
          <w:p w14:paraId="19D37F73"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61CD2E6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1939" w:type="dxa"/>
            <w:noWrap/>
          </w:tcPr>
          <w:p w14:paraId="177AE8A9"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Fixture</w:t>
            </w:r>
          </w:p>
        </w:tc>
      </w:tr>
      <w:tr w:rsidR="00843C34" w:rsidRPr="00F34CA3" w14:paraId="70EAB6D2"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val="restart"/>
            <w:noWrap/>
          </w:tcPr>
          <w:p w14:paraId="651A2B1C"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Spiral GU24 Base Type</w:t>
            </w:r>
          </w:p>
        </w:tc>
        <w:tc>
          <w:tcPr>
            <w:tcW w:w="1235" w:type="dxa"/>
            <w:noWrap/>
          </w:tcPr>
          <w:p w14:paraId="37F4AF82"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40FDDC01"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&lt;20W</w:t>
            </w:r>
          </w:p>
        </w:tc>
        <w:tc>
          <w:tcPr>
            <w:tcW w:w="1939" w:type="dxa"/>
            <w:noWrap/>
          </w:tcPr>
          <w:p w14:paraId="65EDDAAB"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Fixture</w:t>
            </w:r>
          </w:p>
        </w:tc>
      </w:tr>
      <w:tr w:rsidR="00843C34" w:rsidRPr="00F34CA3" w14:paraId="07986F48"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77749B49"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4F76293E"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031914C1"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Pr>
                <w:rFonts w:eastAsia="Calibri" w:cs="Segoe UI"/>
                <w:color w:val="000000"/>
                <w:szCs w:val="20"/>
              </w:rPr>
              <w:t>≥</w:t>
            </w:r>
            <w:r w:rsidRPr="00F34CA3">
              <w:rPr>
                <w:rFonts w:eastAsia="Calibri" w:cs="Segoe UI"/>
                <w:color w:val="000000"/>
                <w:szCs w:val="20"/>
              </w:rPr>
              <w:t>20W</w:t>
            </w:r>
          </w:p>
        </w:tc>
        <w:tc>
          <w:tcPr>
            <w:tcW w:w="1939" w:type="dxa"/>
            <w:noWrap/>
          </w:tcPr>
          <w:p w14:paraId="743DF2C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Fixture</w:t>
            </w:r>
          </w:p>
        </w:tc>
      </w:tr>
      <w:tr w:rsidR="00843C34" w:rsidRPr="00F34CA3" w14:paraId="491F6B6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val="restart"/>
            <w:noWrap/>
          </w:tcPr>
          <w:p w14:paraId="7DF1C83D"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Single, Double, Triple Tube</w:t>
            </w:r>
          </w:p>
        </w:tc>
        <w:tc>
          <w:tcPr>
            <w:tcW w:w="1235" w:type="dxa"/>
            <w:noWrap/>
          </w:tcPr>
          <w:p w14:paraId="3F9BB702"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53C8A277"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&lt;20W</w:t>
            </w:r>
          </w:p>
        </w:tc>
        <w:tc>
          <w:tcPr>
            <w:tcW w:w="1939" w:type="dxa"/>
            <w:noWrap/>
          </w:tcPr>
          <w:p w14:paraId="530D87CB"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Pin-Base Lamp</w:t>
            </w:r>
          </w:p>
        </w:tc>
      </w:tr>
      <w:tr w:rsidR="00843C34" w:rsidRPr="00F34CA3" w14:paraId="297D4861"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55686DDD"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224BA582"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4B19271F"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Pr>
                <w:rFonts w:eastAsia="Calibri" w:cs="Segoe UI"/>
                <w:color w:val="000000"/>
                <w:szCs w:val="20"/>
              </w:rPr>
              <w:t>≥</w:t>
            </w:r>
            <w:r w:rsidRPr="00F34CA3">
              <w:rPr>
                <w:rFonts w:eastAsia="Calibri" w:cs="Segoe UI"/>
                <w:color w:val="000000"/>
                <w:szCs w:val="20"/>
              </w:rPr>
              <w:t>20W</w:t>
            </w:r>
          </w:p>
        </w:tc>
        <w:tc>
          <w:tcPr>
            <w:tcW w:w="1939" w:type="dxa"/>
            <w:noWrap/>
          </w:tcPr>
          <w:p w14:paraId="1EFEA143"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Pin-Base Lamp</w:t>
            </w:r>
          </w:p>
        </w:tc>
      </w:tr>
      <w:tr w:rsidR="00843C34" w:rsidRPr="00F34CA3" w14:paraId="78D8328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val="restart"/>
            <w:noWrap/>
          </w:tcPr>
          <w:p w14:paraId="464E7E31"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t>Reflectors</w:t>
            </w:r>
          </w:p>
        </w:tc>
        <w:tc>
          <w:tcPr>
            <w:tcW w:w="1235" w:type="dxa"/>
            <w:noWrap/>
          </w:tcPr>
          <w:p w14:paraId="4C4BE62E"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16CA5E63"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R/BR</w:t>
            </w:r>
          </w:p>
        </w:tc>
        <w:tc>
          <w:tcPr>
            <w:tcW w:w="1939" w:type="dxa"/>
            <w:noWrap/>
          </w:tcPr>
          <w:p w14:paraId="6C93B01D"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5427E33E"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191872B1"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59F4A294"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190DDD09"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PAR</w:t>
            </w:r>
          </w:p>
        </w:tc>
        <w:tc>
          <w:tcPr>
            <w:tcW w:w="1939" w:type="dxa"/>
            <w:noWrap/>
          </w:tcPr>
          <w:p w14:paraId="43E570DF"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6E764FCF"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vMerge/>
            <w:noWrap/>
          </w:tcPr>
          <w:p w14:paraId="19459F43" w14:textId="77777777" w:rsidR="00843C34" w:rsidRPr="00F34CA3" w:rsidRDefault="00843C34" w:rsidP="00AA7818">
            <w:pPr>
              <w:widowControl w:val="0"/>
              <w:spacing w:after="40"/>
              <w:jc w:val="center"/>
              <w:rPr>
                <w:rFonts w:eastAsia="Calibri" w:cs="Segoe UI"/>
                <w:color w:val="000000"/>
                <w:szCs w:val="20"/>
              </w:rPr>
            </w:pPr>
          </w:p>
        </w:tc>
        <w:tc>
          <w:tcPr>
            <w:tcW w:w="1235" w:type="dxa"/>
            <w:noWrap/>
          </w:tcPr>
          <w:p w14:paraId="1EFB89BC"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32DFB435"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Other Reflectors</w:t>
            </w:r>
          </w:p>
        </w:tc>
        <w:tc>
          <w:tcPr>
            <w:tcW w:w="1939" w:type="dxa"/>
            <w:noWrap/>
          </w:tcPr>
          <w:p w14:paraId="4B1136F6"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szCs w:val="20"/>
              </w:rPr>
              <w:t>Screw-Base Lamp</w:t>
            </w:r>
          </w:p>
        </w:tc>
      </w:tr>
      <w:tr w:rsidR="00843C34" w:rsidRPr="00F34CA3" w14:paraId="1057923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2635" w:type="dxa"/>
            <w:noWrap/>
          </w:tcPr>
          <w:p w14:paraId="4BE0AD3D" w14:textId="77777777" w:rsidR="00843C34" w:rsidRPr="00F34CA3" w:rsidRDefault="00843C34" w:rsidP="00AA7818">
            <w:pPr>
              <w:widowControl w:val="0"/>
              <w:spacing w:after="40"/>
              <w:jc w:val="center"/>
              <w:rPr>
                <w:rFonts w:eastAsia="Calibri" w:cs="Segoe UI"/>
                <w:color w:val="000000"/>
                <w:szCs w:val="20"/>
              </w:rPr>
            </w:pPr>
            <w:r w:rsidRPr="00F34CA3">
              <w:rPr>
                <w:rFonts w:eastAsia="Calibri" w:cs="Segoe UI"/>
                <w:color w:val="000000"/>
                <w:szCs w:val="20"/>
              </w:rPr>
              <w:lastRenderedPageBreak/>
              <w:t>Decorative</w:t>
            </w:r>
          </w:p>
        </w:tc>
        <w:tc>
          <w:tcPr>
            <w:tcW w:w="1235" w:type="dxa"/>
            <w:noWrap/>
          </w:tcPr>
          <w:p w14:paraId="0562CC83"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3239" w:type="dxa"/>
            <w:noWrap/>
          </w:tcPr>
          <w:p w14:paraId="3A4C7EC7"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p>
        </w:tc>
        <w:tc>
          <w:tcPr>
            <w:tcW w:w="1939" w:type="dxa"/>
            <w:noWrap/>
          </w:tcPr>
          <w:p w14:paraId="23A8732F" w14:textId="77777777" w:rsidR="00843C34" w:rsidRPr="00F34CA3" w:rsidRDefault="00843C34" w:rsidP="00AA7818">
            <w:pPr>
              <w:widowControl w:val="0"/>
              <w:jc w:val="center"/>
              <w:cnfStyle w:val="000000000000" w:firstRow="0" w:lastRow="0" w:firstColumn="0" w:lastColumn="0" w:oddVBand="0" w:evenVBand="0" w:oddHBand="0" w:evenHBand="0" w:firstRowFirstColumn="0" w:firstRowLastColumn="0" w:lastRowFirstColumn="0" w:lastRowLastColumn="0"/>
              <w:rPr>
                <w:rFonts w:eastAsia="Calibri" w:cs="Segoe UI"/>
                <w:szCs w:val="20"/>
              </w:rPr>
            </w:pPr>
            <w:r w:rsidRPr="00F34CA3">
              <w:rPr>
                <w:rFonts w:eastAsia="Calibri" w:cs="Segoe UI"/>
                <w:szCs w:val="20"/>
              </w:rPr>
              <w:t>Screw-Base Lamp</w:t>
            </w:r>
          </w:p>
        </w:tc>
      </w:tr>
    </w:tbl>
    <w:p w14:paraId="0A910E0B" w14:textId="4AB00455" w:rsidR="00843C34" w:rsidRPr="00843C34" w:rsidRDefault="000D463A" w:rsidP="000D463A">
      <w:pPr>
        <w:pStyle w:val="Caption"/>
      </w:pPr>
      <w:bookmarkStart w:id="18" w:name="_Ref138152170"/>
      <w:r>
        <w:t xml:space="preserve">Table </w:t>
      </w:r>
      <w:fldSimple w:instr=" SEQ Table \* ARABIC ">
        <w:r w:rsidR="00C02B88">
          <w:rPr>
            <w:noProof/>
          </w:rPr>
          <w:t>10</w:t>
        </w:r>
      </w:fldSimple>
      <w:bookmarkEnd w:id="18"/>
      <w:r>
        <w:t>:</w:t>
      </w:r>
      <w:r w:rsidR="00843C34" w:rsidRPr="00843C34">
        <w:t xml:space="preserve"> Controls</w:t>
      </w:r>
    </w:p>
    <w:tbl>
      <w:tblPr>
        <w:tblStyle w:val="BPATable-classic"/>
        <w:tblW w:w="0" w:type="auto"/>
        <w:tblLayout w:type="fixed"/>
        <w:tblLook w:val="04A0" w:firstRow="1" w:lastRow="0" w:firstColumn="1" w:lastColumn="0" w:noHBand="0" w:noVBand="1"/>
      </w:tblPr>
      <w:tblGrid>
        <w:gridCol w:w="3863"/>
        <w:gridCol w:w="1261"/>
        <w:gridCol w:w="2614"/>
        <w:gridCol w:w="1622"/>
      </w:tblGrid>
      <w:tr w:rsidR="00843C34" w:rsidRPr="00F34CA3" w14:paraId="4E1BE702" w14:textId="77777777" w:rsidTr="00AA78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63" w:type="dxa"/>
            <w:noWrap/>
            <w:hideMark/>
          </w:tcPr>
          <w:p w14:paraId="79D4691A" w14:textId="77777777" w:rsidR="00843C34" w:rsidRPr="00F34CA3" w:rsidRDefault="00843C34" w:rsidP="00AA7818">
            <w:pPr>
              <w:keepNext/>
              <w:keepLines/>
              <w:spacing w:after="40"/>
              <w:jc w:val="center"/>
              <w:rPr>
                <w:rFonts w:eastAsia="Calibri" w:cs="Segoe UI"/>
                <w:bCs/>
              </w:rPr>
            </w:pPr>
            <w:r w:rsidRPr="00F34CA3">
              <w:rPr>
                <w:rFonts w:eastAsia="Calibri" w:cs="Arial"/>
              </w:rPr>
              <w:t>General Category</w:t>
            </w:r>
          </w:p>
        </w:tc>
        <w:tc>
          <w:tcPr>
            <w:tcW w:w="1261" w:type="dxa"/>
            <w:noWrap/>
            <w:hideMark/>
          </w:tcPr>
          <w:p w14:paraId="64D0F19F"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Dimension</w:t>
            </w:r>
          </w:p>
        </w:tc>
        <w:tc>
          <w:tcPr>
            <w:tcW w:w="2614" w:type="dxa"/>
            <w:noWrap/>
            <w:hideMark/>
          </w:tcPr>
          <w:p w14:paraId="3ED23F3F"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Subcategory</w:t>
            </w:r>
          </w:p>
        </w:tc>
        <w:tc>
          <w:tcPr>
            <w:tcW w:w="1622" w:type="dxa"/>
            <w:noWrap/>
            <w:hideMark/>
          </w:tcPr>
          <w:p w14:paraId="22D12F9A" w14:textId="77777777" w:rsidR="00843C34" w:rsidRPr="00F34CA3" w:rsidRDefault="00843C34" w:rsidP="00AA7818">
            <w:pPr>
              <w:keepNext/>
              <w:keepLines/>
              <w:spacing w:after="40"/>
              <w:jc w:val="center"/>
              <w:cnfStyle w:val="100000000000" w:firstRow="1" w:lastRow="0" w:firstColumn="0" w:lastColumn="0" w:oddVBand="0" w:evenVBand="0" w:oddHBand="0" w:evenHBand="0" w:firstRowFirstColumn="0" w:firstRowLastColumn="0" w:lastRowFirstColumn="0" w:lastRowLastColumn="0"/>
              <w:rPr>
                <w:rFonts w:eastAsia="Calibri" w:cs="Segoe UI"/>
                <w:bCs/>
              </w:rPr>
            </w:pPr>
            <w:r w:rsidRPr="00F34CA3">
              <w:rPr>
                <w:rFonts w:eastAsia="Calibri" w:cs="Arial"/>
              </w:rPr>
              <w:t>Base Type</w:t>
            </w:r>
          </w:p>
        </w:tc>
      </w:tr>
      <w:tr w:rsidR="00843C34" w:rsidRPr="00F34CA3" w14:paraId="06106346"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noWrap/>
          </w:tcPr>
          <w:p w14:paraId="1F7A1D2F"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Daylight Dimmers</w:t>
            </w:r>
          </w:p>
        </w:tc>
        <w:tc>
          <w:tcPr>
            <w:tcW w:w="1261" w:type="dxa"/>
            <w:noWrap/>
          </w:tcPr>
          <w:p w14:paraId="2ABE454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607581C6"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622" w:type="dxa"/>
            <w:noWrap/>
          </w:tcPr>
          <w:p w14:paraId="17006ADD"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7436CE2A"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vMerge w:val="restart"/>
            <w:noWrap/>
          </w:tcPr>
          <w:p w14:paraId="3DBD36BE"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Networked and Other Advanced Controls</w:t>
            </w:r>
          </w:p>
        </w:tc>
        <w:tc>
          <w:tcPr>
            <w:tcW w:w="1261" w:type="dxa"/>
            <w:noWrap/>
          </w:tcPr>
          <w:p w14:paraId="1EE9E75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0E5D1062"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Luminaire Level Networked</w:t>
            </w:r>
          </w:p>
        </w:tc>
        <w:tc>
          <w:tcPr>
            <w:tcW w:w="1622" w:type="dxa"/>
            <w:noWrap/>
          </w:tcPr>
          <w:p w14:paraId="234A4B48"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1A6B2122"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vMerge/>
            <w:noWrap/>
          </w:tcPr>
          <w:p w14:paraId="75900642" w14:textId="77777777" w:rsidR="00843C34" w:rsidRPr="00F34CA3" w:rsidRDefault="00843C34" w:rsidP="00AA7818">
            <w:pPr>
              <w:keepNext/>
              <w:keepLines/>
              <w:spacing w:after="40"/>
              <w:jc w:val="center"/>
              <w:rPr>
                <w:rFonts w:eastAsia="Calibri" w:cs="Segoe UI"/>
                <w:color w:val="000000"/>
              </w:rPr>
            </w:pPr>
          </w:p>
        </w:tc>
        <w:tc>
          <w:tcPr>
            <w:tcW w:w="1261" w:type="dxa"/>
            <w:noWrap/>
          </w:tcPr>
          <w:p w14:paraId="314D0C7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73E4CA4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Other Networked/Advanced Controls</w:t>
            </w:r>
          </w:p>
        </w:tc>
        <w:tc>
          <w:tcPr>
            <w:tcW w:w="1622" w:type="dxa"/>
            <w:noWrap/>
          </w:tcPr>
          <w:p w14:paraId="2B31392C"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7B1FFD8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vMerge w:val="restart"/>
            <w:noWrap/>
          </w:tcPr>
          <w:p w14:paraId="1AE2C828" w14:textId="08F0279A"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Occupancy/ Vacancy Sensors</w:t>
            </w:r>
          </w:p>
        </w:tc>
        <w:tc>
          <w:tcPr>
            <w:tcW w:w="1261" w:type="dxa"/>
            <w:noWrap/>
          </w:tcPr>
          <w:p w14:paraId="09255FD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79DB064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Ceiling Mounted</w:t>
            </w:r>
          </w:p>
        </w:tc>
        <w:tc>
          <w:tcPr>
            <w:tcW w:w="1622" w:type="dxa"/>
            <w:noWrap/>
          </w:tcPr>
          <w:p w14:paraId="628DF5E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767EB6F7"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vMerge/>
            <w:noWrap/>
          </w:tcPr>
          <w:p w14:paraId="154E16FC" w14:textId="77777777" w:rsidR="00843C34" w:rsidRPr="00F34CA3" w:rsidRDefault="00843C34" w:rsidP="00AA7818">
            <w:pPr>
              <w:keepNext/>
              <w:keepLines/>
              <w:spacing w:after="40"/>
              <w:jc w:val="center"/>
              <w:rPr>
                <w:rFonts w:eastAsia="Calibri" w:cs="Segoe UI"/>
                <w:color w:val="000000"/>
              </w:rPr>
            </w:pPr>
          </w:p>
        </w:tc>
        <w:tc>
          <w:tcPr>
            <w:tcW w:w="1261" w:type="dxa"/>
            <w:noWrap/>
          </w:tcPr>
          <w:p w14:paraId="6FD48D9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48490E6F"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Wallbox</w:t>
            </w:r>
          </w:p>
        </w:tc>
        <w:tc>
          <w:tcPr>
            <w:tcW w:w="1622" w:type="dxa"/>
            <w:noWrap/>
          </w:tcPr>
          <w:p w14:paraId="35BB88E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0D3E154B"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noWrap/>
          </w:tcPr>
          <w:p w14:paraId="763E0768"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Photocells</w:t>
            </w:r>
          </w:p>
        </w:tc>
        <w:tc>
          <w:tcPr>
            <w:tcW w:w="1261" w:type="dxa"/>
            <w:noWrap/>
          </w:tcPr>
          <w:p w14:paraId="44AF0D5A"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0AA0172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r w:rsidRPr="00F34CA3">
              <w:rPr>
                <w:rFonts w:eastAsia="Calibri" w:cs="Segoe UI"/>
                <w:color w:val="000000"/>
              </w:rPr>
              <w:t>Indoor</w:t>
            </w:r>
          </w:p>
        </w:tc>
        <w:tc>
          <w:tcPr>
            <w:tcW w:w="1622" w:type="dxa"/>
            <w:noWrap/>
          </w:tcPr>
          <w:p w14:paraId="3AA5FF40"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3B9BA0E0"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noWrap/>
          </w:tcPr>
          <w:p w14:paraId="21C385F6"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Scheduling Clock/Timers</w:t>
            </w:r>
          </w:p>
        </w:tc>
        <w:tc>
          <w:tcPr>
            <w:tcW w:w="1261" w:type="dxa"/>
            <w:noWrap/>
          </w:tcPr>
          <w:p w14:paraId="64F6EC2E"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6FCF9B4B"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622" w:type="dxa"/>
            <w:noWrap/>
          </w:tcPr>
          <w:p w14:paraId="0A856C62"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526F3059"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noWrap/>
          </w:tcPr>
          <w:p w14:paraId="5C7790D5"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Wireless</w:t>
            </w:r>
          </w:p>
        </w:tc>
        <w:tc>
          <w:tcPr>
            <w:tcW w:w="1261" w:type="dxa"/>
            <w:noWrap/>
          </w:tcPr>
          <w:p w14:paraId="71FC24F3"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71227BDB" w14:textId="77777777" w:rsidR="00843C34" w:rsidRPr="00F34CA3" w:rsidDel="00585606"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622" w:type="dxa"/>
            <w:noWrap/>
          </w:tcPr>
          <w:p w14:paraId="52F66AE2"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r w:rsidR="00843C34" w:rsidRPr="00F34CA3" w14:paraId="3C8E2118" w14:textId="77777777" w:rsidTr="00AA7818">
        <w:trPr>
          <w:trHeight w:val="300"/>
        </w:trPr>
        <w:tc>
          <w:tcPr>
            <w:cnfStyle w:val="001000000000" w:firstRow="0" w:lastRow="0" w:firstColumn="1" w:lastColumn="0" w:oddVBand="0" w:evenVBand="0" w:oddHBand="0" w:evenHBand="0" w:firstRowFirstColumn="0" w:firstRowLastColumn="0" w:lastRowFirstColumn="0" w:lastRowLastColumn="0"/>
            <w:tcW w:w="3863" w:type="dxa"/>
            <w:noWrap/>
          </w:tcPr>
          <w:p w14:paraId="0E9EB4C8" w14:textId="77777777" w:rsidR="00843C34" w:rsidRPr="00F34CA3" w:rsidRDefault="00843C34" w:rsidP="00AA7818">
            <w:pPr>
              <w:keepNext/>
              <w:keepLines/>
              <w:spacing w:after="40"/>
              <w:jc w:val="center"/>
              <w:rPr>
                <w:rFonts w:eastAsia="Calibri" w:cs="Segoe UI"/>
                <w:color w:val="000000"/>
              </w:rPr>
            </w:pPr>
            <w:r w:rsidRPr="00F34CA3">
              <w:rPr>
                <w:rFonts w:eastAsia="Calibri" w:cs="Segoe UI"/>
                <w:color w:val="000000"/>
              </w:rPr>
              <w:t>Wireless Relays</w:t>
            </w:r>
          </w:p>
        </w:tc>
        <w:tc>
          <w:tcPr>
            <w:tcW w:w="1261" w:type="dxa"/>
            <w:noWrap/>
          </w:tcPr>
          <w:p w14:paraId="798A0617"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2614" w:type="dxa"/>
            <w:noWrap/>
          </w:tcPr>
          <w:p w14:paraId="3F188B5A" w14:textId="77777777" w:rsidR="00843C34" w:rsidRPr="00F34CA3" w:rsidDel="00585606"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c>
          <w:tcPr>
            <w:tcW w:w="1622" w:type="dxa"/>
            <w:noWrap/>
          </w:tcPr>
          <w:p w14:paraId="2BA6E439" w14:textId="77777777" w:rsidR="00843C34" w:rsidRPr="00F34CA3" w:rsidRDefault="00843C34" w:rsidP="00AA7818">
            <w:pPr>
              <w:keepNext/>
              <w:keepLines/>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rPr>
            </w:pPr>
          </w:p>
        </w:tc>
      </w:tr>
    </w:tbl>
    <w:p w14:paraId="33986D03" w14:textId="77777777" w:rsidR="00843C34" w:rsidRPr="00F34CA3" w:rsidRDefault="00843C34" w:rsidP="00AA7818">
      <w:pPr>
        <w:jc w:val="center"/>
      </w:pPr>
    </w:p>
    <w:p w14:paraId="6D2FD2BF" w14:textId="637082CB" w:rsidR="00843C34" w:rsidRDefault="00843C34" w:rsidP="00843C34">
      <w:pPr>
        <w:pStyle w:val="Heading6"/>
      </w:pPr>
      <w:bookmarkStart w:id="19" w:name="_Ref133834441"/>
      <w:r>
        <w:lastRenderedPageBreak/>
        <w:t>Appendix 3: Detailed Data Cleaning Approach</w:t>
      </w:r>
      <w:bookmarkEnd w:id="19"/>
    </w:p>
    <w:p w14:paraId="4AD00898" w14:textId="6B5A226C" w:rsidR="00843C34" w:rsidRPr="00F34CA3" w:rsidRDefault="00AA7818" w:rsidP="00843C34">
      <w:pPr>
        <w:pStyle w:val="BodyText"/>
      </w:pPr>
      <w:r>
        <w:t>The Cadeo team (t</w:t>
      </w:r>
      <w:r w:rsidR="00843C34" w:rsidRPr="00F34CA3">
        <w:t>he research team</w:t>
      </w:r>
      <w:r>
        <w:t>)</w:t>
      </w:r>
      <w:r w:rsidR="00843C34" w:rsidRPr="00F34CA3">
        <w:t xml:space="preserve"> performed two levels of quality control (QC) review on incoming data submissions. First, the research team reviewed submissions within 48 hours of receipt to identify any notable data gaps that required follow-up requests to the distributor. Second, the research team reviewed the final submitted data relative to previous submissions (where applicable) and to other distributors’ sales trends. The research team aggregated all sales data into a common format in a SQL server database to perform this second review. The following sections describe these processes.</w:t>
      </w:r>
    </w:p>
    <w:p w14:paraId="57319EB0" w14:textId="6101AC16" w:rsidR="00843C34" w:rsidRDefault="00843C34" w:rsidP="00843C34">
      <w:pPr>
        <w:pStyle w:val="Heading7"/>
      </w:pPr>
      <w:r>
        <w:t>Initial Data QC Review</w:t>
      </w:r>
    </w:p>
    <w:p w14:paraId="1389E0D3" w14:textId="77777777" w:rsidR="00843C34" w:rsidRPr="00F34CA3" w:rsidRDefault="00843C34" w:rsidP="00843C34">
      <w:pPr>
        <w:pStyle w:val="BodyText"/>
      </w:pPr>
      <w:r w:rsidRPr="00F34CA3">
        <w:t xml:space="preserve">The research team used a standard QC checklist to review all data submissions. The checklist covers the major areas where errors in data input are likely to occur. It also ensures the appropriate information for aggregating the data for analysis is present. A summary of the initial data QC follows. </w:t>
      </w:r>
    </w:p>
    <w:p w14:paraId="79AC4D5A" w14:textId="76B44080" w:rsidR="00843C34" w:rsidRPr="00F34CA3" w:rsidRDefault="00843C34">
      <w:pPr>
        <w:pStyle w:val="ListNumber"/>
        <w:numPr>
          <w:ilvl w:val="0"/>
          <w:numId w:val="7"/>
        </w:numPr>
      </w:pPr>
      <w:r w:rsidRPr="00843C34">
        <w:rPr>
          <w:b/>
          <w:bCs/>
        </w:rPr>
        <w:t xml:space="preserve">Scope of review. </w:t>
      </w:r>
      <w:r w:rsidRPr="00F34CA3">
        <w:t>The research team ensured distributors did not report sales outside of the Pacific Northwest region (Idaho, Montana,</w:t>
      </w:r>
      <w:r w:rsidRPr="00F34CA3">
        <w:rPr>
          <w:rStyle w:val="FootnoteReference"/>
          <w:rFonts w:cs="Segoe UI"/>
        </w:rPr>
        <w:footnoteReference w:id="12"/>
      </w:r>
      <w:r w:rsidRPr="00F34CA3">
        <w:t xml:space="preserve"> Oregon, and Washington)</w:t>
      </w:r>
      <w:r w:rsidR="0021306D">
        <w:t>;</w:t>
      </w:r>
      <w:r w:rsidRPr="00F34CA3">
        <w:t xml:space="preserve"> branch information was included for data</w:t>
      </w:r>
      <w:r w:rsidR="0021306D">
        <w:t xml:space="preserve"> </w:t>
      </w:r>
      <w:r w:rsidRPr="00F34CA3">
        <w:t xml:space="preserve">sets spanning multiple locations, and sales totals were expressed in units and dollars. </w:t>
      </w:r>
      <w:r>
        <w:t>The research team</w:t>
      </w:r>
      <w:r w:rsidRPr="00F34CA3">
        <w:t xml:space="preserve"> also checked that the data did not violate any data validation rules. </w:t>
      </w:r>
    </w:p>
    <w:p w14:paraId="6220682F" w14:textId="54141659" w:rsidR="00843C34" w:rsidRPr="00F34CA3" w:rsidRDefault="00843C34">
      <w:pPr>
        <w:pStyle w:val="ListNumber"/>
        <w:numPr>
          <w:ilvl w:val="0"/>
          <w:numId w:val="7"/>
        </w:numPr>
      </w:pPr>
      <w:r w:rsidRPr="00843C34">
        <w:rPr>
          <w:b/>
          <w:bCs/>
        </w:rPr>
        <w:t>Data gaps.</w:t>
      </w:r>
      <w:r w:rsidRPr="00F34CA3">
        <w:t xml:space="preserve"> The research team reviewed all data</w:t>
      </w:r>
      <w:r w:rsidR="0021306D">
        <w:t xml:space="preserve"> </w:t>
      </w:r>
      <w:r w:rsidRPr="00F34CA3">
        <w:t xml:space="preserve">sets, flagged any sales field that was missing data (either a 0.00 or blank cell), and followed up with the distributor to confirm the gap. If the distributor confirmed zero products were sold, the research team filled in zeros. However, if a product was sold but the distributor could not report it, the research team left it blank. For example, some distributors could not extract sales for controls or fixtures due to reporting system limitations. </w:t>
      </w:r>
    </w:p>
    <w:p w14:paraId="1049C1E5" w14:textId="0D6240C6" w:rsidR="00843C34" w:rsidRPr="00F34CA3" w:rsidRDefault="00843C34">
      <w:pPr>
        <w:pStyle w:val="ListNumber"/>
        <w:numPr>
          <w:ilvl w:val="0"/>
          <w:numId w:val="7"/>
        </w:numPr>
      </w:pPr>
      <w:r w:rsidRPr="00843C34">
        <w:rPr>
          <w:b/>
          <w:bCs/>
        </w:rPr>
        <w:t>Data magnitude.</w:t>
      </w:r>
      <w:r w:rsidRPr="00F34CA3">
        <w:t xml:space="preserve"> The research team also reviewed each tab to ensure the magnitude of sales for each application was reasonable and flagged any cell that could have been an error (e.g., 0.25 or 250,000,000 sales for a particular application, or an unusual increase or decrease in sales year</w:t>
      </w:r>
      <w:r w:rsidR="00F80570">
        <w:t xml:space="preserve"> </w:t>
      </w:r>
      <w:r w:rsidRPr="00F34CA3">
        <w:t>over</w:t>
      </w:r>
      <w:r w:rsidR="00F80570">
        <w:t xml:space="preserve"> </w:t>
      </w:r>
      <w:r w:rsidRPr="00F34CA3">
        <w:t xml:space="preserve">year). </w:t>
      </w:r>
    </w:p>
    <w:p w14:paraId="78A03A77" w14:textId="77777777" w:rsidR="00843C34" w:rsidRPr="00F34CA3" w:rsidRDefault="00843C34">
      <w:pPr>
        <w:pStyle w:val="ListNumber"/>
        <w:numPr>
          <w:ilvl w:val="0"/>
          <w:numId w:val="7"/>
        </w:numPr>
      </w:pPr>
      <w:r w:rsidRPr="00843C34">
        <w:rPr>
          <w:b/>
          <w:bCs/>
        </w:rPr>
        <w:t>Data reporting.</w:t>
      </w:r>
      <w:r w:rsidRPr="00F34CA3">
        <w:t xml:space="preserve"> Lastly, the research team confirmed that distributors reported all sales data in terms of individual lamps and not packages of multiple lamps. </w:t>
      </w:r>
    </w:p>
    <w:p w14:paraId="50FFC9E7" w14:textId="626025FE" w:rsidR="00843C34" w:rsidRDefault="00843C34" w:rsidP="00843C34">
      <w:pPr>
        <w:pStyle w:val="Heading7"/>
      </w:pPr>
      <w:r>
        <w:lastRenderedPageBreak/>
        <w:t>Merging Data from Multiple Sources</w:t>
      </w:r>
    </w:p>
    <w:p w14:paraId="1B034111" w14:textId="77777777" w:rsidR="00843C34" w:rsidRPr="00F34CA3" w:rsidRDefault="00843C34" w:rsidP="00843C34">
      <w:pPr>
        <w:pStyle w:val="Heading8"/>
      </w:pPr>
      <w:r w:rsidRPr="00F34CA3">
        <w:t xml:space="preserve">Mapping Sales Survey Forms to Standardized </w:t>
      </w:r>
      <w:r w:rsidRPr="00B317A4">
        <w:t>Fields</w:t>
      </w:r>
    </w:p>
    <w:p w14:paraId="66E3EEC8" w14:textId="1D06484D" w:rsidR="00843C34" w:rsidRPr="00F34CA3" w:rsidRDefault="00843C34" w:rsidP="00843C34">
      <w:pPr>
        <w:pStyle w:val="BodyText"/>
      </w:pPr>
      <w:r w:rsidRPr="00F34CA3">
        <w:t xml:space="preserve">The research team created a data import process to bring data from the Excel survey forms into SQL. Using a data extraction template created by </w:t>
      </w:r>
      <w:r>
        <w:t>the research team</w:t>
      </w:r>
      <w:r w:rsidRPr="00F34CA3">
        <w:t xml:space="preserve">, Cadeo extracted all key data fields from the survey forms into a comma separated values (CSV) file. The research team then imported these CSV files directly into the SQL </w:t>
      </w:r>
      <w:r w:rsidR="00A85E8A">
        <w:t>s</w:t>
      </w:r>
      <w:r w:rsidRPr="00F34CA3">
        <w:t xml:space="preserve">erver database. </w:t>
      </w:r>
      <w:r>
        <w:t>The research team</w:t>
      </w:r>
      <w:r w:rsidRPr="00F34CA3">
        <w:t xml:space="preserve"> repeated this process for each of the returned distributor surveys.</w:t>
      </w:r>
    </w:p>
    <w:p w14:paraId="514C650B" w14:textId="77777777" w:rsidR="00843C34" w:rsidRPr="00F34CA3" w:rsidRDefault="00843C34" w:rsidP="00843C34">
      <w:pPr>
        <w:pStyle w:val="Heading8"/>
      </w:pPr>
      <w:r w:rsidRPr="00F34CA3">
        <w:t>Mapping Historic Data (2013</w:t>
      </w:r>
      <w:r>
        <w:rPr>
          <w:rFonts w:cs="Segoe UI Light"/>
        </w:rPr>
        <w:t>–</w:t>
      </w:r>
      <w:r w:rsidRPr="00F34CA3">
        <w:t>2016) to Standardized Fields</w:t>
      </w:r>
    </w:p>
    <w:p w14:paraId="7ACD3088" w14:textId="2EA47718" w:rsidR="00843C34" w:rsidRPr="00F34CA3" w:rsidRDefault="00843C34" w:rsidP="00843C34">
      <w:pPr>
        <w:pStyle w:val="BodyText"/>
      </w:pPr>
      <w:r w:rsidRPr="00F34CA3">
        <w:t xml:space="preserve">Each year, the research team revisits the Excel-based sales survey form sent to distributors to capture any new product categories and to look for opportunities to collapse categories to ease the reporting burden. Thus, </w:t>
      </w:r>
      <w:r>
        <w:t>the research team</w:t>
      </w:r>
      <w:r w:rsidRPr="00F34CA3">
        <w:t xml:space="preserve"> had to ensure that data from previous collection efforts (originally stored in Excel) mapped to the proper lamp and luminaire characteristics in the new database</w:t>
      </w:r>
      <w:r w:rsidR="00CE4A93">
        <w:t>.</w:t>
      </w:r>
    </w:p>
    <w:p w14:paraId="2CCBD3EF" w14:textId="77777777" w:rsidR="00843C34" w:rsidRPr="00F34CA3" w:rsidRDefault="00843C34" w:rsidP="00843C34">
      <w:pPr>
        <w:pStyle w:val="Heading8"/>
      </w:pPr>
      <w:r w:rsidRPr="00F34CA3">
        <w:t xml:space="preserve">Mapping </w:t>
      </w:r>
      <w:r w:rsidRPr="00561129">
        <w:t>Reduced Wattage Lamp Replacement</w:t>
      </w:r>
      <w:r w:rsidRPr="00F34CA3">
        <w:t xml:space="preserve"> Data to Standardized Fields</w:t>
      </w:r>
    </w:p>
    <w:p w14:paraId="228E3B7D" w14:textId="2AE0926E" w:rsidR="00843C34" w:rsidRPr="00F34CA3" w:rsidRDefault="00843C34" w:rsidP="00843C34">
      <w:pPr>
        <w:pStyle w:val="BodyText"/>
      </w:pPr>
      <w:r>
        <w:t>The Northwest Energy Efficiency Alliance (NEEA)</w:t>
      </w:r>
      <w:r w:rsidRPr="00F34CA3">
        <w:t xml:space="preserve"> </w:t>
      </w:r>
      <w:r w:rsidRPr="00561129">
        <w:t>Reduced Wattage Lamp Replacement</w:t>
      </w:r>
      <w:r>
        <w:t xml:space="preserve"> (</w:t>
      </w:r>
      <w:r w:rsidRPr="00F34CA3">
        <w:t>RWLR</w:t>
      </w:r>
      <w:r>
        <w:t>)</w:t>
      </w:r>
      <w:r w:rsidRPr="00F34CA3">
        <w:t xml:space="preserve"> initiative collected sales data on linear fluorescent and tubular LED (TLED) lamps for all participating distributors through 2020. NEEA cleaned this data to identify the share of 4-foot T8 lamps that are reduced wattage (25W and 28W) and standard wattage (32W). Participating distributors submitted sales data for all 4-foot T8 lamps, including T12 and T5 lamps, </w:t>
      </w:r>
      <w:r w:rsidR="00F80570" w:rsidRPr="00F34CA3">
        <w:t>monthly</w:t>
      </w:r>
      <w:r w:rsidRPr="00F34CA3">
        <w:t xml:space="preserve">. As NEEA’s goals and data structure differed from this project’s goals and data structure, the research team had to map NEEA’s data to the standardized fields in the database and, in some cases, add granularity to the data provided. The research team took the following steps in this process: </w:t>
      </w:r>
    </w:p>
    <w:p w14:paraId="458CDEB6" w14:textId="04E38B51" w:rsidR="00843C34" w:rsidRPr="00F34CA3" w:rsidRDefault="00843C34">
      <w:pPr>
        <w:pStyle w:val="ListNumber"/>
        <w:numPr>
          <w:ilvl w:val="0"/>
          <w:numId w:val="9"/>
        </w:numPr>
      </w:pPr>
      <w:r w:rsidRPr="001C6A04">
        <w:rPr>
          <w:b/>
        </w:rPr>
        <w:t>Identify and eliminate products that are not linear fluorescent or TLED.</w:t>
      </w:r>
      <w:r w:rsidRPr="00F34CA3">
        <w:t xml:space="preserve"> </w:t>
      </w:r>
      <w:r w:rsidR="00F80570">
        <w:t>T</w:t>
      </w:r>
      <w:r>
        <w:t>he research team</w:t>
      </w:r>
      <w:r w:rsidRPr="00F34CA3">
        <w:t xml:space="preserve"> do</w:t>
      </w:r>
      <w:r>
        <w:t>es</w:t>
      </w:r>
      <w:r w:rsidRPr="00F34CA3">
        <w:t xml:space="preserve"> not have complete product data for these RWLR participants outside of linear fluorescent and TLED data, </w:t>
      </w:r>
      <w:r w:rsidR="00F80570">
        <w:t xml:space="preserve">so </w:t>
      </w:r>
      <w:r w:rsidRPr="00F34CA3">
        <w:t xml:space="preserve">the additional sales in other categories are incomplete. </w:t>
      </w:r>
      <w:r>
        <w:t>The research team</w:t>
      </w:r>
      <w:r w:rsidRPr="00F34CA3">
        <w:t xml:space="preserve"> removes these sales because </w:t>
      </w:r>
      <w:r>
        <w:t>the research team</w:t>
      </w:r>
      <w:r w:rsidRPr="00F34CA3">
        <w:t xml:space="preserve"> cannot verify that reported sales in nonlinear fluorescent and TLED categories represent all of that distributor’s sales in those additional product categories. The research team also removed black light lamps, gold tubes, and germicidal lamps. Some distributors submitted sales of hardware and wiring, CFLs, and metal halide lamps; </w:t>
      </w:r>
      <w:r>
        <w:t>the research team</w:t>
      </w:r>
      <w:r w:rsidRPr="00F34CA3">
        <w:t xml:space="preserve"> also removed these products. </w:t>
      </w:r>
      <w:r>
        <w:t>The research team</w:t>
      </w:r>
      <w:r w:rsidRPr="00F34CA3">
        <w:t xml:space="preserve"> used the following fields to identify products to exclude, in the order listed: </w:t>
      </w:r>
    </w:p>
    <w:p w14:paraId="4848BDB7" w14:textId="77777777" w:rsidR="00843C34" w:rsidRPr="00F34CA3" w:rsidRDefault="00843C34">
      <w:pPr>
        <w:pStyle w:val="ListNumber"/>
        <w:numPr>
          <w:ilvl w:val="1"/>
          <w:numId w:val="3"/>
        </w:numPr>
      </w:pPr>
      <w:r w:rsidRPr="00F34CA3">
        <w:t xml:space="preserve">Technology type </w:t>
      </w:r>
    </w:p>
    <w:p w14:paraId="29A2E7E7" w14:textId="77777777" w:rsidR="00843C34" w:rsidRPr="00F34CA3" w:rsidRDefault="00843C34">
      <w:pPr>
        <w:pStyle w:val="ListNumber"/>
        <w:numPr>
          <w:ilvl w:val="1"/>
          <w:numId w:val="3"/>
        </w:numPr>
      </w:pPr>
      <w:r w:rsidRPr="00F34CA3">
        <w:t>Bulb description</w:t>
      </w:r>
    </w:p>
    <w:p w14:paraId="69A75B43" w14:textId="77777777" w:rsidR="00843C34" w:rsidRPr="00F34CA3" w:rsidRDefault="00843C34">
      <w:pPr>
        <w:pStyle w:val="ListNumber"/>
        <w:numPr>
          <w:ilvl w:val="1"/>
          <w:numId w:val="3"/>
        </w:numPr>
      </w:pPr>
      <w:r w:rsidRPr="00F34CA3">
        <w:lastRenderedPageBreak/>
        <w:t xml:space="preserve">Bulb type </w:t>
      </w:r>
    </w:p>
    <w:p w14:paraId="54650B14" w14:textId="2F02A55F" w:rsidR="00843C34" w:rsidRPr="00F34CA3" w:rsidRDefault="00843C34" w:rsidP="001C6A04">
      <w:pPr>
        <w:pStyle w:val="ListNumber"/>
      </w:pPr>
      <w:r w:rsidRPr="00F34CA3">
        <w:rPr>
          <w:b/>
        </w:rPr>
        <w:t xml:space="preserve">Standardize the naming conventions for incorporation in the SQL </w:t>
      </w:r>
      <w:r>
        <w:rPr>
          <w:b/>
        </w:rPr>
        <w:t>s</w:t>
      </w:r>
      <w:r w:rsidRPr="00F34CA3">
        <w:rPr>
          <w:b/>
        </w:rPr>
        <w:t>erver database.</w:t>
      </w:r>
      <w:r w:rsidRPr="00F34CA3">
        <w:t xml:space="preserve"> In some cases, multiple product descriptions </w:t>
      </w:r>
      <w:r w:rsidR="004D5B18" w:rsidRPr="00F34CA3">
        <w:t>are mapped</w:t>
      </w:r>
      <w:r w:rsidRPr="00F34CA3">
        <w:t xml:space="preserve"> to the same category in the SQL </w:t>
      </w:r>
      <w:r>
        <w:t>s</w:t>
      </w:r>
      <w:r w:rsidRPr="00F34CA3">
        <w:t xml:space="preserve">erver database. </w:t>
      </w:r>
      <w:r w:rsidR="000D463A">
        <w:fldChar w:fldCharType="begin"/>
      </w:r>
      <w:r w:rsidR="000D463A">
        <w:instrText xml:space="preserve"> REF _Ref138152202 \h </w:instrText>
      </w:r>
      <w:r w:rsidR="000D463A">
        <w:fldChar w:fldCharType="separate"/>
      </w:r>
      <w:r w:rsidR="00C02B88">
        <w:t xml:space="preserve">Table </w:t>
      </w:r>
      <w:r w:rsidR="00C02B88">
        <w:rPr>
          <w:noProof/>
        </w:rPr>
        <w:t>11</w:t>
      </w:r>
      <w:r w:rsidR="000D463A">
        <w:fldChar w:fldCharType="end"/>
      </w:r>
      <w:r w:rsidRPr="00F34CA3">
        <w:t xml:space="preserve"> provides an example of 15 unique combinations of the NEEA fields “Shape” and “Category” that map to U-shape lamps. In this step, </w:t>
      </w:r>
      <w:r>
        <w:t>the research team</w:t>
      </w:r>
      <w:r w:rsidRPr="00F34CA3">
        <w:t xml:space="preserve"> expanded definitions to incorporate new categories: UL Type A/B TLEDs, and UL Type C TLEDs.</w:t>
      </w:r>
    </w:p>
    <w:p w14:paraId="4366F421" w14:textId="43DB23EB" w:rsidR="00843C34" w:rsidRPr="00F34CA3" w:rsidRDefault="000D463A" w:rsidP="000D463A">
      <w:pPr>
        <w:pStyle w:val="Caption"/>
      </w:pPr>
      <w:bookmarkStart w:id="20" w:name="_Ref138152202"/>
      <w:bookmarkStart w:id="21" w:name="_Ref106279226"/>
      <w:r>
        <w:t xml:space="preserve">Table </w:t>
      </w:r>
      <w:fldSimple w:instr=" SEQ Table \* ARABIC ">
        <w:r w:rsidR="00C02B88">
          <w:rPr>
            <w:noProof/>
          </w:rPr>
          <w:t>11</w:t>
        </w:r>
      </w:fldSimple>
      <w:bookmarkEnd w:id="20"/>
      <w:r>
        <w:t xml:space="preserve">: </w:t>
      </w:r>
      <w:bookmarkEnd w:id="21"/>
      <w:r w:rsidR="00843C34" w:rsidRPr="00F34CA3">
        <w:t>Inconsistent Naming Convention Example: U-Shape Lamps</w:t>
      </w:r>
    </w:p>
    <w:tbl>
      <w:tblPr>
        <w:tblStyle w:val="BPATable-classic"/>
        <w:tblW w:w="0" w:type="auto"/>
        <w:tblLayout w:type="fixed"/>
        <w:tblLook w:val="04A0" w:firstRow="1" w:lastRow="0" w:firstColumn="1" w:lastColumn="0" w:noHBand="0" w:noVBand="1"/>
      </w:tblPr>
      <w:tblGrid>
        <w:gridCol w:w="3123"/>
        <w:gridCol w:w="3123"/>
      </w:tblGrid>
      <w:tr w:rsidR="00843C34" w:rsidRPr="00F34CA3" w14:paraId="33C2B7F7" w14:textId="77777777" w:rsidTr="00F8057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5FB0651C" w14:textId="77777777" w:rsidR="00843C34" w:rsidRPr="00F34CA3" w:rsidRDefault="00843C34" w:rsidP="00E91E47">
            <w:pPr>
              <w:keepNext/>
              <w:keepLines/>
              <w:spacing w:after="40"/>
              <w:jc w:val="center"/>
            </w:pPr>
            <w:r w:rsidRPr="00F34CA3">
              <w:t>Shape</w:t>
            </w:r>
          </w:p>
        </w:tc>
        <w:tc>
          <w:tcPr>
            <w:tcW w:w="3123" w:type="dxa"/>
            <w:noWrap/>
            <w:hideMark/>
          </w:tcPr>
          <w:p w14:paraId="0D23DC2F" w14:textId="77777777" w:rsidR="00843C34" w:rsidRPr="00F34CA3" w:rsidRDefault="00843C34" w:rsidP="00E91E47">
            <w:pPr>
              <w:keepNext/>
              <w:keepLines/>
              <w:spacing w:after="40"/>
              <w:jc w:val="center"/>
              <w:cnfStyle w:val="100000000000" w:firstRow="1" w:lastRow="0" w:firstColumn="0" w:lastColumn="0" w:oddVBand="0" w:evenVBand="0" w:oddHBand="0" w:evenHBand="0" w:firstRowFirstColumn="0" w:firstRowLastColumn="0" w:lastRowFirstColumn="0" w:lastRowLastColumn="0"/>
            </w:pPr>
            <w:r w:rsidRPr="00F34CA3">
              <w:t>Category</w:t>
            </w:r>
          </w:p>
        </w:tc>
      </w:tr>
      <w:tr w:rsidR="00843C34" w:rsidRPr="00F34CA3" w14:paraId="6ACBCCA6"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50183DBF" w14:textId="77777777" w:rsidR="00843C34" w:rsidRPr="00F34CA3" w:rsidRDefault="00843C34" w:rsidP="00F80570">
            <w:pPr>
              <w:keepNext/>
              <w:keepLines/>
              <w:spacing w:after="40"/>
              <w:jc w:val="center"/>
            </w:pPr>
            <w:r w:rsidRPr="00F34CA3">
              <w:t>T8-6U</w:t>
            </w:r>
          </w:p>
        </w:tc>
        <w:tc>
          <w:tcPr>
            <w:tcW w:w="3123" w:type="dxa"/>
            <w:noWrap/>
            <w:hideMark/>
          </w:tcPr>
          <w:p w14:paraId="4D059902"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T8LEDU</w:t>
            </w:r>
          </w:p>
        </w:tc>
      </w:tr>
      <w:tr w:rsidR="00843C34" w:rsidRPr="00F34CA3" w14:paraId="6B315B67"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2776DDDD" w14:textId="77777777" w:rsidR="00843C34" w:rsidRPr="00F34CA3" w:rsidRDefault="00843C34" w:rsidP="00F80570">
            <w:pPr>
              <w:keepNext/>
              <w:keepLines/>
              <w:spacing w:after="40"/>
              <w:jc w:val="center"/>
            </w:pPr>
            <w:r w:rsidRPr="00F34CA3">
              <w:t>T8-6U</w:t>
            </w:r>
          </w:p>
        </w:tc>
        <w:tc>
          <w:tcPr>
            <w:tcW w:w="3123" w:type="dxa"/>
            <w:noWrap/>
            <w:hideMark/>
          </w:tcPr>
          <w:p w14:paraId="162A2DF2"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Other</w:t>
            </w:r>
          </w:p>
        </w:tc>
      </w:tr>
      <w:tr w:rsidR="00843C34" w:rsidRPr="00F34CA3" w14:paraId="4C32DB3B"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5F8C6AFD" w14:textId="77777777" w:rsidR="00843C34" w:rsidRPr="00F34CA3" w:rsidRDefault="00843C34" w:rsidP="00F80570">
            <w:pPr>
              <w:keepNext/>
              <w:keepLines/>
              <w:spacing w:after="40"/>
              <w:jc w:val="center"/>
            </w:pPr>
            <w:r w:rsidRPr="00F34CA3">
              <w:t>U-Bent</w:t>
            </w:r>
          </w:p>
        </w:tc>
        <w:tc>
          <w:tcPr>
            <w:tcW w:w="3123" w:type="dxa"/>
            <w:noWrap/>
            <w:hideMark/>
          </w:tcPr>
          <w:p w14:paraId="28F14D65"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Other</w:t>
            </w:r>
          </w:p>
        </w:tc>
      </w:tr>
      <w:tr w:rsidR="00843C34" w:rsidRPr="00F34CA3" w14:paraId="5C745015"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56114178" w14:textId="77777777" w:rsidR="00843C34" w:rsidRPr="00F34CA3" w:rsidRDefault="00843C34" w:rsidP="00F80570">
            <w:pPr>
              <w:keepNext/>
              <w:keepLines/>
              <w:spacing w:after="40"/>
              <w:jc w:val="center"/>
            </w:pPr>
            <w:r w:rsidRPr="00F34CA3">
              <w:t>T8-1-5/8 (U-Bend)</w:t>
            </w:r>
          </w:p>
        </w:tc>
        <w:tc>
          <w:tcPr>
            <w:tcW w:w="3123" w:type="dxa"/>
            <w:noWrap/>
            <w:hideMark/>
          </w:tcPr>
          <w:p w14:paraId="6F098D08"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Other</w:t>
            </w:r>
          </w:p>
        </w:tc>
      </w:tr>
      <w:tr w:rsidR="00843C34" w:rsidRPr="00F34CA3" w14:paraId="20C67635"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75313049" w14:textId="77777777" w:rsidR="00843C34" w:rsidRPr="00F34CA3" w:rsidRDefault="00843C34" w:rsidP="00F80570">
            <w:pPr>
              <w:keepNext/>
              <w:keepLines/>
              <w:spacing w:after="40"/>
              <w:jc w:val="center"/>
            </w:pPr>
            <w:r w:rsidRPr="00F34CA3">
              <w:t>T8-1-5/8 (U-Bend)</w:t>
            </w:r>
          </w:p>
        </w:tc>
        <w:tc>
          <w:tcPr>
            <w:tcW w:w="3123" w:type="dxa"/>
            <w:noWrap/>
            <w:hideMark/>
          </w:tcPr>
          <w:p w14:paraId="7B16479E"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U-Bend-T8</w:t>
            </w:r>
          </w:p>
        </w:tc>
      </w:tr>
      <w:tr w:rsidR="00843C34" w:rsidRPr="00F34CA3" w14:paraId="2BF04A29"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78B181D4" w14:textId="77777777" w:rsidR="00843C34" w:rsidRPr="00F34CA3" w:rsidRDefault="00843C34" w:rsidP="00F80570">
            <w:pPr>
              <w:keepNext/>
              <w:keepLines/>
              <w:spacing w:after="40"/>
              <w:jc w:val="center"/>
            </w:pPr>
            <w:r w:rsidRPr="00F34CA3">
              <w:t>T8-6U</w:t>
            </w:r>
          </w:p>
        </w:tc>
        <w:tc>
          <w:tcPr>
            <w:tcW w:w="3123" w:type="dxa"/>
            <w:noWrap/>
            <w:hideMark/>
          </w:tcPr>
          <w:p w14:paraId="4CCE9328"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U-Bend-T8</w:t>
            </w:r>
          </w:p>
        </w:tc>
      </w:tr>
      <w:tr w:rsidR="00843C34" w:rsidRPr="00F34CA3" w14:paraId="6D9ACDA7"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3C59DE90" w14:textId="77777777" w:rsidR="00843C34" w:rsidRPr="00F34CA3" w:rsidRDefault="00843C34" w:rsidP="00F80570">
            <w:pPr>
              <w:keepNext/>
              <w:keepLines/>
              <w:spacing w:after="40"/>
              <w:jc w:val="center"/>
            </w:pPr>
            <w:r w:rsidRPr="00F34CA3">
              <w:t>T8-6U</w:t>
            </w:r>
          </w:p>
        </w:tc>
        <w:tc>
          <w:tcPr>
            <w:tcW w:w="3123" w:type="dxa"/>
            <w:noWrap/>
            <w:hideMark/>
          </w:tcPr>
          <w:p w14:paraId="5EBC01B8"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32W</w:t>
            </w:r>
          </w:p>
        </w:tc>
      </w:tr>
      <w:tr w:rsidR="00843C34" w:rsidRPr="00F34CA3" w14:paraId="05D05EA4"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66D06964" w14:textId="77777777" w:rsidR="00843C34" w:rsidRPr="00F34CA3" w:rsidRDefault="00843C34" w:rsidP="00F80570">
            <w:pPr>
              <w:keepNext/>
              <w:keepLines/>
              <w:spacing w:after="40"/>
              <w:jc w:val="center"/>
            </w:pPr>
            <w:r w:rsidRPr="00F34CA3">
              <w:t>U-Bend</w:t>
            </w:r>
          </w:p>
        </w:tc>
        <w:tc>
          <w:tcPr>
            <w:tcW w:w="3123" w:type="dxa"/>
            <w:noWrap/>
            <w:hideMark/>
          </w:tcPr>
          <w:p w14:paraId="6468068E"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Other</w:t>
            </w:r>
          </w:p>
        </w:tc>
      </w:tr>
      <w:tr w:rsidR="00843C34" w:rsidRPr="00F34CA3" w14:paraId="61A689E4"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25CB6005" w14:textId="77777777" w:rsidR="00843C34" w:rsidRPr="00F34CA3" w:rsidRDefault="00843C34" w:rsidP="00F80570">
            <w:pPr>
              <w:keepNext/>
              <w:keepLines/>
              <w:spacing w:after="40"/>
              <w:jc w:val="center"/>
            </w:pPr>
            <w:r w:rsidRPr="00F34CA3">
              <w:t>T8-U</w:t>
            </w:r>
          </w:p>
        </w:tc>
        <w:tc>
          <w:tcPr>
            <w:tcW w:w="3123" w:type="dxa"/>
            <w:noWrap/>
            <w:hideMark/>
          </w:tcPr>
          <w:p w14:paraId="062F5A44"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T8</w:t>
            </w:r>
          </w:p>
        </w:tc>
      </w:tr>
      <w:tr w:rsidR="00843C34" w:rsidRPr="00F34CA3" w14:paraId="36C8B93F"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4D04C997" w14:textId="77777777" w:rsidR="00843C34" w:rsidRPr="00F34CA3" w:rsidRDefault="00843C34" w:rsidP="00F80570">
            <w:pPr>
              <w:keepNext/>
              <w:keepLines/>
              <w:spacing w:after="40"/>
              <w:jc w:val="center"/>
            </w:pPr>
            <w:r w:rsidRPr="00F34CA3">
              <w:t>T8-U</w:t>
            </w:r>
          </w:p>
        </w:tc>
        <w:tc>
          <w:tcPr>
            <w:tcW w:w="3123" w:type="dxa"/>
            <w:noWrap/>
            <w:hideMark/>
          </w:tcPr>
          <w:p w14:paraId="4BB696EC"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32W</w:t>
            </w:r>
          </w:p>
        </w:tc>
      </w:tr>
      <w:tr w:rsidR="00843C34" w:rsidRPr="00F34CA3" w14:paraId="63B7F968"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4D7773BD" w14:textId="77777777" w:rsidR="00843C34" w:rsidRPr="00F34CA3" w:rsidRDefault="00843C34" w:rsidP="00F80570">
            <w:pPr>
              <w:keepNext/>
              <w:keepLines/>
              <w:spacing w:after="40"/>
              <w:jc w:val="center"/>
            </w:pPr>
            <w:r w:rsidRPr="00F34CA3">
              <w:t>T8 U-Bend</w:t>
            </w:r>
          </w:p>
        </w:tc>
        <w:tc>
          <w:tcPr>
            <w:tcW w:w="3123" w:type="dxa"/>
            <w:noWrap/>
            <w:hideMark/>
          </w:tcPr>
          <w:p w14:paraId="7A9FE8EE"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Other</w:t>
            </w:r>
          </w:p>
        </w:tc>
      </w:tr>
      <w:tr w:rsidR="00843C34" w:rsidRPr="00F34CA3" w14:paraId="0F926510"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23E7E9DE" w14:textId="77777777" w:rsidR="00843C34" w:rsidRPr="00F34CA3" w:rsidRDefault="00843C34" w:rsidP="00F80570">
            <w:pPr>
              <w:keepNext/>
              <w:keepLines/>
              <w:spacing w:after="40"/>
              <w:jc w:val="center"/>
            </w:pPr>
            <w:r w:rsidRPr="00F34CA3">
              <w:t>T8-6U</w:t>
            </w:r>
          </w:p>
        </w:tc>
        <w:tc>
          <w:tcPr>
            <w:tcW w:w="3123" w:type="dxa"/>
            <w:noWrap/>
            <w:hideMark/>
          </w:tcPr>
          <w:p w14:paraId="1303B062"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T8-6U</w:t>
            </w:r>
          </w:p>
        </w:tc>
      </w:tr>
      <w:tr w:rsidR="00843C34" w:rsidRPr="00F34CA3" w14:paraId="75F7ABBA"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7E3BD8E5" w14:textId="77777777" w:rsidR="00843C34" w:rsidRPr="00F34CA3" w:rsidRDefault="00843C34" w:rsidP="00F80570">
            <w:pPr>
              <w:keepNext/>
              <w:keepLines/>
              <w:spacing w:after="40"/>
              <w:jc w:val="center"/>
            </w:pPr>
            <w:r w:rsidRPr="00F34CA3">
              <w:t>T8-6U</w:t>
            </w:r>
          </w:p>
        </w:tc>
        <w:tc>
          <w:tcPr>
            <w:tcW w:w="3123" w:type="dxa"/>
            <w:noWrap/>
            <w:hideMark/>
          </w:tcPr>
          <w:p w14:paraId="58FCD156"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T8</w:t>
            </w:r>
          </w:p>
        </w:tc>
      </w:tr>
      <w:tr w:rsidR="00843C34" w:rsidRPr="00F34CA3" w14:paraId="14C1DA79"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3983F675" w14:textId="77777777" w:rsidR="00843C34" w:rsidRPr="00F34CA3" w:rsidRDefault="00843C34" w:rsidP="00F80570">
            <w:pPr>
              <w:keepNext/>
              <w:keepLines/>
              <w:spacing w:after="40"/>
              <w:jc w:val="center"/>
            </w:pPr>
            <w:r w:rsidRPr="00F34CA3">
              <w:t>T8-U</w:t>
            </w:r>
          </w:p>
        </w:tc>
        <w:tc>
          <w:tcPr>
            <w:tcW w:w="3123" w:type="dxa"/>
            <w:noWrap/>
            <w:hideMark/>
          </w:tcPr>
          <w:p w14:paraId="1692B1F6"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T8LEDU</w:t>
            </w:r>
          </w:p>
        </w:tc>
      </w:tr>
      <w:tr w:rsidR="00843C34" w:rsidRPr="00F34CA3" w14:paraId="17E537B2" w14:textId="77777777" w:rsidTr="00F80570">
        <w:trPr>
          <w:trHeight w:val="312"/>
        </w:trPr>
        <w:tc>
          <w:tcPr>
            <w:cnfStyle w:val="001000000000" w:firstRow="0" w:lastRow="0" w:firstColumn="1" w:lastColumn="0" w:oddVBand="0" w:evenVBand="0" w:oddHBand="0" w:evenHBand="0" w:firstRowFirstColumn="0" w:firstRowLastColumn="0" w:lastRowFirstColumn="0" w:lastRowLastColumn="0"/>
            <w:tcW w:w="3123" w:type="dxa"/>
            <w:noWrap/>
            <w:hideMark/>
          </w:tcPr>
          <w:p w14:paraId="6BE71EF5" w14:textId="77777777" w:rsidR="00843C34" w:rsidRPr="00F34CA3" w:rsidRDefault="00843C34" w:rsidP="00F80570">
            <w:pPr>
              <w:keepNext/>
              <w:keepLines/>
              <w:spacing w:after="40"/>
              <w:jc w:val="center"/>
            </w:pPr>
            <w:r w:rsidRPr="00F34CA3">
              <w:t>T8 U-Bend</w:t>
            </w:r>
          </w:p>
        </w:tc>
        <w:tc>
          <w:tcPr>
            <w:tcW w:w="3123" w:type="dxa"/>
            <w:noWrap/>
            <w:hideMark/>
          </w:tcPr>
          <w:p w14:paraId="1C9B9664" w14:textId="77777777" w:rsidR="00843C34" w:rsidRPr="00F34CA3" w:rsidRDefault="00843C34" w:rsidP="00F80570">
            <w:pPr>
              <w:keepNext/>
              <w:keepLines/>
              <w:jc w:val="center"/>
              <w:cnfStyle w:val="000000000000" w:firstRow="0" w:lastRow="0" w:firstColumn="0" w:lastColumn="0" w:oddVBand="0" w:evenVBand="0" w:oddHBand="0" w:evenHBand="0" w:firstRowFirstColumn="0" w:firstRowLastColumn="0" w:lastRowFirstColumn="0" w:lastRowLastColumn="0"/>
            </w:pPr>
            <w:r w:rsidRPr="00F34CA3">
              <w:t>U-Bend-T8</w:t>
            </w:r>
          </w:p>
        </w:tc>
      </w:tr>
    </w:tbl>
    <w:p w14:paraId="4F967870" w14:textId="77777777" w:rsidR="00843C34" w:rsidRPr="00F34CA3" w:rsidRDefault="00843C34" w:rsidP="00F80570">
      <w:pPr>
        <w:pStyle w:val="Source"/>
        <w:ind w:left="900" w:firstLine="540"/>
      </w:pPr>
      <w:r w:rsidRPr="00F34CA3">
        <w:t>Source: NEEA RWLR database</w:t>
      </w:r>
    </w:p>
    <w:p w14:paraId="5A97332F" w14:textId="505AFB67" w:rsidR="00843C34" w:rsidRPr="00F34CA3" w:rsidRDefault="00843C34" w:rsidP="001C6A04">
      <w:pPr>
        <w:pStyle w:val="ListNumber"/>
      </w:pPr>
      <w:r w:rsidRPr="00F34CA3">
        <w:rPr>
          <w:b/>
        </w:rPr>
        <w:t>Review for incorrectly categorized lamps.</w:t>
      </w:r>
      <w:r w:rsidRPr="00F34CA3">
        <w:t xml:space="preserve"> </w:t>
      </w:r>
      <w:r w:rsidR="000D463A">
        <w:fldChar w:fldCharType="begin"/>
      </w:r>
      <w:r w:rsidR="000D463A">
        <w:instrText xml:space="preserve"> REF _Ref138152222 \h </w:instrText>
      </w:r>
      <w:r w:rsidR="000D463A">
        <w:fldChar w:fldCharType="separate"/>
      </w:r>
      <w:r w:rsidR="00C02B88">
        <w:t xml:space="preserve">Table </w:t>
      </w:r>
      <w:r w:rsidR="00C02B88">
        <w:rPr>
          <w:noProof/>
        </w:rPr>
        <w:t>12</w:t>
      </w:r>
      <w:r w:rsidR="000D463A">
        <w:fldChar w:fldCharType="end"/>
      </w:r>
      <w:r w:rsidRPr="00F34CA3">
        <w:t xml:space="preserve"> provides examples of the classifications given to four model numbers that correspond with a single LED lamp type (with two different correlated color temperatures). In two cases, these lamps were incorrectly identified as 4-foot fluorescent lamps, and in two cases they were correctly classified as LED U-shape lamps. The research team reviewed online manufacturer catalogs to verify correct product classification. </w:t>
      </w:r>
    </w:p>
    <w:p w14:paraId="75936B63" w14:textId="671365C0" w:rsidR="00843C34" w:rsidRPr="00F34CA3" w:rsidRDefault="000D463A" w:rsidP="000D463A">
      <w:pPr>
        <w:pStyle w:val="Caption"/>
      </w:pPr>
      <w:bookmarkStart w:id="22" w:name="_Ref138152222"/>
      <w:bookmarkStart w:id="23" w:name="_Ref106279804"/>
      <w:r>
        <w:lastRenderedPageBreak/>
        <w:t xml:space="preserve">Table </w:t>
      </w:r>
      <w:fldSimple w:instr=" SEQ Table \* ARABIC ">
        <w:r w:rsidR="00C02B88">
          <w:rPr>
            <w:noProof/>
          </w:rPr>
          <w:t>12</w:t>
        </w:r>
      </w:fldSimple>
      <w:bookmarkEnd w:id="22"/>
      <w:bookmarkEnd w:id="23"/>
      <w:r w:rsidR="00843C34">
        <w:t xml:space="preserve">: </w:t>
      </w:r>
      <w:r w:rsidR="00843C34" w:rsidRPr="00F34CA3">
        <w:t>Incorrect Product Categorization Example</w:t>
      </w:r>
    </w:p>
    <w:tbl>
      <w:tblPr>
        <w:tblStyle w:val="BPATable-classic"/>
        <w:tblW w:w="5000" w:type="pct"/>
        <w:tblLayout w:type="fixed"/>
        <w:tblLook w:val="04A0" w:firstRow="1" w:lastRow="0" w:firstColumn="1" w:lastColumn="0" w:noHBand="0" w:noVBand="1"/>
      </w:tblPr>
      <w:tblGrid>
        <w:gridCol w:w="2127"/>
        <w:gridCol w:w="1561"/>
        <w:gridCol w:w="812"/>
        <w:gridCol w:w="1352"/>
        <w:gridCol w:w="902"/>
        <w:gridCol w:w="1713"/>
        <w:gridCol w:w="893"/>
      </w:tblGrid>
      <w:tr w:rsidR="00843C34" w:rsidRPr="00F34CA3" w14:paraId="6DB38A28" w14:textId="77777777" w:rsidTr="00843C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14:paraId="338BA296" w14:textId="77777777" w:rsidR="00843C34" w:rsidRPr="00F34CA3" w:rsidRDefault="00843C34" w:rsidP="00E91E47">
            <w:pPr>
              <w:keepNext/>
              <w:spacing w:after="40"/>
              <w:jc w:val="center"/>
              <w:rPr>
                <w:bCs/>
              </w:rPr>
            </w:pPr>
            <w:r w:rsidRPr="00F34CA3">
              <w:rPr>
                <w:bCs/>
              </w:rPr>
              <w:t>Model Number</w:t>
            </w:r>
          </w:p>
        </w:tc>
        <w:tc>
          <w:tcPr>
            <w:tcW w:w="834" w:type="pct"/>
            <w:noWrap/>
            <w:hideMark/>
          </w:tcPr>
          <w:p w14:paraId="0EE92472"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bCs/>
              </w:rPr>
            </w:pPr>
            <w:r w:rsidRPr="00F34CA3">
              <w:rPr>
                <w:bCs/>
              </w:rPr>
              <w:t>Description</w:t>
            </w:r>
          </w:p>
        </w:tc>
        <w:tc>
          <w:tcPr>
            <w:tcW w:w="434" w:type="pct"/>
            <w:noWrap/>
            <w:hideMark/>
          </w:tcPr>
          <w:p w14:paraId="2127D5A0"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bCs/>
              </w:rPr>
            </w:pPr>
            <w:r w:rsidRPr="00F34CA3">
              <w:rPr>
                <w:bCs/>
              </w:rPr>
              <w:t>Shape</w:t>
            </w:r>
          </w:p>
        </w:tc>
        <w:tc>
          <w:tcPr>
            <w:tcW w:w="722" w:type="pct"/>
            <w:noWrap/>
            <w:hideMark/>
          </w:tcPr>
          <w:p w14:paraId="103B150C"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bCs/>
              </w:rPr>
            </w:pPr>
            <w:r w:rsidRPr="00F34CA3">
              <w:rPr>
                <w:bCs/>
              </w:rPr>
              <w:t>Technology</w:t>
            </w:r>
          </w:p>
        </w:tc>
        <w:tc>
          <w:tcPr>
            <w:tcW w:w="482" w:type="pct"/>
            <w:noWrap/>
            <w:hideMark/>
          </w:tcPr>
          <w:p w14:paraId="45A3307F"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bCs/>
              </w:rPr>
            </w:pPr>
            <w:r w:rsidRPr="00F34CA3">
              <w:rPr>
                <w:bCs/>
              </w:rPr>
              <w:t>Watts</w:t>
            </w:r>
          </w:p>
        </w:tc>
        <w:tc>
          <w:tcPr>
            <w:tcW w:w="915" w:type="pct"/>
            <w:noWrap/>
            <w:hideMark/>
          </w:tcPr>
          <w:p w14:paraId="20884863"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bCs/>
              </w:rPr>
            </w:pPr>
            <w:r w:rsidRPr="00F34CA3">
              <w:rPr>
                <w:bCs/>
              </w:rPr>
              <w:t>Lumen</w:t>
            </w:r>
          </w:p>
        </w:tc>
        <w:tc>
          <w:tcPr>
            <w:tcW w:w="477" w:type="pct"/>
          </w:tcPr>
          <w:p w14:paraId="274DC60C"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b w:val="0"/>
                <w:bCs/>
              </w:rPr>
            </w:pPr>
            <w:r w:rsidRPr="00F34CA3">
              <w:t>Length</w:t>
            </w:r>
          </w:p>
        </w:tc>
      </w:tr>
      <w:tr w:rsidR="00843C34" w:rsidRPr="00F34CA3" w14:paraId="6320B797"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14:paraId="1BC80B88" w14:textId="77777777" w:rsidR="00843C34" w:rsidRPr="00F34CA3" w:rsidRDefault="00843C34" w:rsidP="00E91E47">
            <w:pPr>
              <w:keepNext/>
              <w:spacing w:after="40"/>
            </w:pPr>
            <w:r w:rsidRPr="00F34CA3">
              <w:t>PHIL 16.5T8/244000 IF6U</w:t>
            </w:r>
          </w:p>
        </w:tc>
        <w:tc>
          <w:tcPr>
            <w:tcW w:w="834" w:type="pct"/>
            <w:noWrap/>
            <w:hideMark/>
          </w:tcPr>
          <w:p w14:paraId="646F2291"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p>
        </w:tc>
        <w:tc>
          <w:tcPr>
            <w:tcW w:w="434" w:type="pct"/>
            <w:noWrap/>
            <w:hideMark/>
          </w:tcPr>
          <w:p w14:paraId="168DFD6E"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T8-6U</w:t>
            </w:r>
          </w:p>
        </w:tc>
        <w:tc>
          <w:tcPr>
            <w:tcW w:w="722" w:type="pct"/>
            <w:noWrap/>
            <w:hideMark/>
          </w:tcPr>
          <w:p w14:paraId="604015E3"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Fluorescent</w:t>
            </w:r>
          </w:p>
        </w:tc>
        <w:tc>
          <w:tcPr>
            <w:tcW w:w="482" w:type="pct"/>
            <w:noWrap/>
            <w:hideMark/>
          </w:tcPr>
          <w:p w14:paraId="159496C2"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16.5W</w:t>
            </w:r>
          </w:p>
        </w:tc>
        <w:tc>
          <w:tcPr>
            <w:tcW w:w="915" w:type="pct"/>
            <w:noWrap/>
            <w:hideMark/>
          </w:tcPr>
          <w:p w14:paraId="00685C88"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1900</w:t>
            </w:r>
          </w:p>
        </w:tc>
        <w:tc>
          <w:tcPr>
            <w:tcW w:w="477" w:type="pct"/>
          </w:tcPr>
          <w:p w14:paraId="3EB28EE5"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48</w:t>
            </w:r>
          </w:p>
        </w:tc>
      </w:tr>
      <w:tr w:rsidR="00843C34" w:rsidRPr="00F34CA3" w14:paraId="1952647B"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14:paraId="79300042" w14:textId="77777777" w:rsidR="00843C34" w:rsidRPr="00F34CA3" w:rsidRDefault="00843C34" w:rsidP="00E91E47">
            <w:pPr>
              <w:keepNext/>
              <w:spacing w:after="40"/>
            </w:pPr>
            <w:r w:rsidRPr="00F34CA3">
              <w:t>PHIL 16.5T8/24-4000 IF-6U</w:t>
            </w:r>
          </w:p>
        </w:tc>
        <w:tc>
          <w:tcPr>
            <w:tcW w:w="834" w:type="pct"/>
            <w:noWrap/>
            <w:hideMark/>
          </w:tcPr>
          <w:p w14:paraId="4186CD1A"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p>
        </w:tc>
        <w:tc>
          <w:tcPr>
            <w:tcW w:w="434" w:type="pct"/>
            <w:noWrap/>
            <w:hideMark/>
          </w:tcPr>
          <w:p w14:paraId="6B77324A"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T8-6U</w:t>
            </w:r>
          </w:p>
        </w:tc>
        <w:tc>
          <w:tcPr>
            <w:tcW w:w="722" w:type="pct"/>
            <w:noWrap/>
            <w:hideMark/>
          </w:tcPr>
          <w:p w14:paraId="56D12489"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Fluorescent</w:t>
            </w:r>
          </w:p>
        </w:tc>
        <w:tc>
          <w:tcPr>
            <w:tcW w:w="482" w:type="pct"/>
            <w:noWrap/>
            <w:hideMark/>
          </w:tcPr>
          <w:p w14:paraId="30738C17"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16.5W</w:t>
            </w:r>
          </w:p>
        </w:tc>
        <w:tc>
          <w:tcPr>
            <w:tcW w:w="915" w:type="pct"/>
            <w:noWrap/>
            <w:hideMark/>
          </w:tcPr>
          <w:p w14:paraId="5BD20C8B"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1900</w:t>
            </w:r>
          </w:p>
        </w:tc>
        <w:tc>
          <w:tcPr>
            <w:tcW w:w="477" w:type="pct"/>
          </w:tcPr>
          <w:p w14:paraId="2438278F"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48</w:t>
            </w:r>
          </w:p>
        </w:tc>
      </w:tr>
      <w:tr w:rsidR="00843C34" w:rsidRPr="00F34CA3" w14:paraId="1CA9F215"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14:paraId="08E579C2" w14:textId="77777777" w:rsidR="00843C34" w:rsidRPr="00F34CA3" w:rsidRDefault="00843C34" w:rsidP="00E91E47">
            <w:pPr>
              <w:keepNext/>
              <w:spacing w:after="40"/>
            </w:pPr>
            <w:r w:rsidRPr="00F34CA3">
              <w:t>PHIL 16.5T8/245000 IF6U</w:t>
            </w:r>
          </w:p>
        </w:tc>
        <w:tc>
          <w:tcPr>
            <w:tcW w:w="834" w:type="pct"/>
            <w:noWrap/>
            <w:hideMark/>
          </w:tcPr>
          <w:p w14:paraId="667CCE5B"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Fluorescent - Tube - T8</w:t>
            </w:r>
          </w:p>
        </w:tc>
        <w:tc>
          <w:tcPr>
            <w:tcW w:w="434" w:type="pct"/>
            <w:noWrap/>
            <w:hideMark/>
          </w:tcPr>
          <w:p w14:paraId="5D0572D1"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T8</w:t>
            </w:r>
          </w:p>
        </w:tc>
        <w:tc>
          <w:tcPr>
            <w:tcW w:w="722" w:type="pct"/>
            <w:noWrap/>
            <w:hideMark/>
          </w:tcPr>
          <w:p w14:paraId="35129C22"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LED</w:t>
            </w:r>
          </w:p>
        </w:tc>
        <w:tc>
          <w:tcPr>
            <w:tcW w:w="482" w:type="pct"/>
            <w:noWrap/>
            <w:hideMark/>
          </w:tcPr>
          <w:p w14:paraId="25FCA6E2"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16.5W</w:t>
            </w:r>
          </w:p>
        </w:tc>
        <w:tc>
          <w:tcPr>
            <w:tcW w:w="915" w:type="pct"/>
            <w:noWrap/>
            <w:hideMark/>
          </w:tcPr>
          <w:p w14:paraId="689B0078"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1950/2150/290*</w:t>
            </w:r>
          </w:p>
        </w:tc>
        <w:tc>
          <w:tcPr>
            <w:tcW w:w="477" w:type="pct"/>
          </w:tcPr>
          <w:p w14:paraId="1D6DE9AA"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24</w:t>
            </w:r>
          </w:p>
        </w:tc>
      </w:tr>
      <w:tr w:rsidR="00843C34" w:rsidRPr="00F34CA3" w14:paraId="0B55DBFB"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1136" w:type="pct"/>
            <w:noWrap/>
            <w:hideMark/>
          </w:tcPr>
          <w:p w14:paraId="3EB8C281" w14:textId="77777777" w:rsidR="00843C34" w:rsidRPr="00F34CA3" w:rsidRDefault="00843C34" w:rsidP="00E91E47">
            <w:pPr>
              <w:keepNext/>
              <w:spacing w:after="40"/>
            </w:pPr>
            <w:r w:rsidRPr="00F34CA3">
              <w:t>PHIL 16.5T8/24-5000 IF-6U</w:t>
            </w:r>
          </w:p>
        </w:tc>
        <w:tc>
          <w:tcPr>
            <w:tcW w:w="834" w:type="pct"/>
            <w:noWrap/>
            <w:hideMark/>
          </w:tcPr>
          <w:p w14:paraId="510AB584"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Fluorescent - Tube - T8</w:t>
            </w:r>
          </w:p>
        </w:tc>
        <w:tc>
          <w:tcPr>
            <w:tcW w:w="434" w:type="pct"/>
            <w:noWrap/>
            <w:hideMark/>
          </w:tcPr>
          <w:p w14:paraId="22E25CF3"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T8</w:t>
            </w:r>
          </w:p>
        </w:tc>
        <w:tc>
          <w:tcPr>
            <w:tcW w:w="722" w:type="pct"/>
            <w:noWrap/>
            <w:hideMark/>
          </w:tcPr>
          <w:p w14:paraId="6114A181"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LED</w:t>
            </w:r>
          </w:p>
        </w:tc>
        <w:tc>
          <w:tcPr>
            <w:tcW w:w="482" w:type="pct"/>
            <w:noWrap/>
            <w:hideMark/>
          </w:tcPr>
          <w:p w14:paraId="6F84B9C9"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16.5W</w:t>
            </w:r>
          </w:p>
        </w:tc>
        <w:tc>
          <w:tcPr>
            <w:tcW w:w="915" w:type="pct"/>
            <w:noWrap/>
            <w:hideMark/>
          </w:tcPr>
          <w:p w14:paraId="51D851C0"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1950</w:t>
            </w:r>
          </w:p>
        </w:tc>
        <w:tc>
          <w:tcPr>
            <w:tcW w:w="477" w:type="pct"/>
          </w:tcPr>
          <w:p w14:paraId="72C504CB" w14:textId="77777777" w:rsidR="00843C34" w:rsidRPr="00F34CA3" w:rsidRDefault="00843C34" w:rsidP="00E91E47">
            <w:pPr>
              <w:keepNext/>
              <w:cnfStyle w:val="000000000000" w:firstRow="0" w:lastRow="0" w:firstColumn="0" w:lastColumn="0" w:oddVBand="0" w:evenVBand="0" w:oddHBand="0" w:evenHBand="0" w:firstRowFirstColumn="0" w:firstRowLastColumn="0" w:lastRowFirstColumn="0" w:lastRowLastColumn="0"/>
            </w:pPr>
            <w:r w:rsidRPr="00F34CA3">
              <w:t>24</w:t>
            </w:r>
          </w:p>
        </w:tc>
      </w:tr>
    </w:tbl>
    <w:p w14:paraId="77E4E5F3" w14:textId="77777777" w:rsidR="00843C34" w:rsidRPr="003F6CED" w:rsidRDefault="00843C34" w:rsidP="00843C34">
      <w:pPr>
        <w:pStyle w:val="Source"/>
      </w:pPr>
      <w:r w:rsidRPr="003F6CED">
        <w:t xml:space="preserve">*Lumen output with different ballast options. </w:t>
      </w:r>
      <w:r>
        <w:br/>
      </w:r>
      <w:r w:rsidRPr="003F6CED">
        <w:t>Source: NEEA RWLR database</w:t>
      </w:r>
    </w:p>
    <w:p w14:paraId="23569D35" w14:textId="68E19C37" w:rsidR="00843C34" w:rsidRPr="00F34CA3" w:rsidRDefault="00843C34" w:rsidP="00843C34">
      <w:pPr>
        <w:pStyle w:val="ListNumber"/>
      </w:pPr>
      <w:r w:rsidRPr="00F34CA3">
        <w:rPr>
          <w:b/>
        </w:rPr>
        <w:t>Map data to SQL data categories.</w:t>
      </w:r>
      <w:r w:rsidRPr="00F34CA3">
        <w:t xml:space="preserve"> The research team used the following data to map to the SQL </w:t>
      </w:r>
      <w:r w:rsidR="00A85E8A">
        <w:t>s</w:t>
      </w:r>
      <w:r w:rsidRPr="00F34CA3">
        <w:t xml:space="preserve">erver database linear fluorescent and TLED data categories: </w:t>
      </w:r>
    </w:p>
    <w:p w14:paraId="4CD9AC88" w14:textId="77777777" w:rsidR="00843C34" w:rsidRPr="00F34CA3" w:rsidRDefault="00843C34">
      <w:pPr>
        <w:pStyle w:val="ListNumber"/>
        <w:numPr>
          <w:ilvl w:val="1"/>
          <w:numId w:val="3"/>
        </w:numPr>
      </w:pPr>
      <w:r w:rsidRPr="00F34CA3">
        <w:t>Lighting technology type (LED or linear fluorescent)</w:t>
      </w:r>
    </w:p>
    <w:p w14:paraId="55BCB2AC" w14:textId="77777777" w:rsidR="00843C34" w:rsidRPr="003F6CED" w:rsidRDefault="00843C34">
      <w:pPr>
        <w:pStyle w:val="ListNumber"/>
        <w:numPr>
          <w:ilvl w:val="1"/>
          <w:numId w:val="3"/>
        </w:numPr>
      </w:pPr>
      <w:r w:rsidRPr="003F6CED">
        <w:t xml:space="preserve">Lamp shape (T8, T5, T12, or LED tubes) </w:t>
      </w:r>
    </w:p>
    <w:p w14:paraId="431F6573" w14:textId="77777777" w:rsidR="00843C34" w:rsidRPr="00F34CA3" w:rsidRDefault="00843C34">
      <w:pPr>
        <w:pStyle w:val="ListNumber"/>
        <w:numPr>
          <w:ilvl w:val="1"/>
          <w:numId w:val="3"/>
        </w:numPr>
      </w:pPr>
      <w:r w:rsidRPr="00F34CA3">
        <w:t>Lamp wattage</w:t>
      </w:r>
    </w:p>
    <w:p w14:paraId="2683B503" w14:textId="77777777" w:rsidR="00843C34" w:rsidRPr="00F34CA3" w:rsidRDefault="00843C34">
      <w:pPr>
        <w:pStyle w:val="ListNumber"/>
        <w:numPr>
          <w:ilvl w:val="1"/>
          <w:numId w:val="3"/>
        </w:numPr>
      </w:pPr>
      <w:r w:rsidRPr="00F34CA3">
        <w:t xml:space="preserve">Lamp length </w:t>
      </w:r>
    </w:p>
    <w:p w14:paraId="25C3EB77" w14:textId="77777777" w:rsidR="00843C34" w:rsidRPr="00F34CA3" w:rsidRDefault="00843C34">
      <w:pPr>
        <w:pStyle w:val="ListNumber"/>
        <w:numPr>
          <w:ilvl w:val="1"/>
          <w:numId w:val="3"/>
        </w:numPr>
      </w:pPr>
      <w:r w:rsidRPr="00F34CA3">
        <w:t>T8 series (for 4-foot or 2-foot U-shape T8 lamps between 29W and 32W: 700 series or 800 series based on color rendering index)</w:t>
      </w:r>
    </w:p>
    <w:p w14:paraId="682CF09F" w14:textId="07BDE643" w:rsidR="00843C34" w:rsidRPr="00F34CA3" w:rsidRDefault="00843C34">
      <w:pPr>
        <w:pStyle w:val="ListNumber"/>
        <w:numPr>
          <w:ilvl w:val="1"/>
          <w:numId w:val="3"/>
        </w:numPr>
      </w:pPr>
      <w:r w:rsidRPr="00F34CA3">
        <w:t>UL Type for TLEDs. The two main UL Types are Type A</w:t>
      </w:r>
      <w:r w:rsidR="00A85E8A">
        <w:t>,</w:t>
      </w:r>
      <w:r w:rsidRPr="00F34CA3">
        <w:t xml:space="preserve"> which is ballast compatible and often referred to as </w:t>
      </w:r>
      <w:r w:rsidR="00A85E8A">
        <w:t>“p</w:t>
      </w:r>
      <w:r w:rsidRPr="00F34CA3">
        <w:t>lug-and-</w:t>
      </w:r>
      <w:r w:rsidR="00A85E8A">
        <w:t>p</w:t>
      </w:r>
      <w:r w:rsidRPr="00F34CA3">
        <w:t>lay</w:t>
      </w:r>
      <w:r w:rsidR="00A85E8A">
        <w:t>,”</w:t>
      </w:r>
      <w:r w:rsidRPr="00F34CA3">
        <w:t xml:space="preserve"> and Type B which requires bypassing the ballast. This year, </w:t>
      </w:r>
      <w:r>
        <w:t>the research team</w:t>
      </w:r>
      <w:r w:rsidRPr="00F34CA3">
        <w:t xml:space="preserve"> also added Type A/B Dual</w:t>
      </w:r>
      <w:r w:rsidR="008C3269">
        <w:t>-</w:t>
      </w:r>
      <w:r w:rsidRPr="00F34CA3">
        <w:t>Mode/Hybrid and Type C Remote Driver TLEDs.</w:t>
      </w:r>
    </w:p>
    <w:p w14:paraId="1F17ED0A" w14:textId="2DCE2E44" w:rsidR="00843C34" w:rsidRPr="00F34CA3" w:rsidRDefault="00843C34" w:rsidP="001C6A04">
      <w:pPr>
        <w:pStyle w:val="ListNumber"/>
        <w:numPr>
          <w:ilvl w:val="0"/>
          <w:numId w:val="0"/>
        </w:numPr>
        <w:ind w:left="720"/>
      </w:pPr>
      <w:r w:rsidRPr="00F34CA3">
        <w:t xml:space="preserve">For any lamp where one of these fields was missing, the research team used text strings from other product fields or an online web search to fill in the missing data. </w:t>
      </w:r>
      <w:r w:rsidR="000D463A">
        <w:fldChar w:fldCharType="begin"/>
      </w:r>
      <w:r w:rsidR="000D463A">
        <w:instrText xml:space="preserve"> REF _Ref138152251 \h </w:instrText>
      </w:r>
      <w:r w:rsidR="000D463A">
        <w:fldChar w:fldCharType="separate"/>
      </w:r>
      <w:r w:rsidR="00C02B88">
        <w:t xml:space="preserve">Table </w:t>
      </w:r>
      <w:r w:rsidR="00C02B88">
        <w:rPr>
          <w:noProof/>
        </w:rPr>
        <w:t>13</w:t>
      </w:r>
      <w:r w:rsidR="000D463A">
        <w:fldChar w:fldCharType="end"/>
      </w:r>
      <w:r w:rsidR="000D463A">
        <w:t xml:space="preserve"> su</w:t>
      </w:r>
      <w:r w:rsidRPr="00F34CA3">
        <w:t xml:space="preserve">mmarizes the linear fluorescent and LED categories in the SQL </w:t>
      </w:r>
      <w:r w:rsidR="00A85E8A">
        <w:t>s</w:t>
      </w:r>
      <w:r w:rsidRPr="00F34CA3">
        <w:t xml:space="preserve">erver database. </w:t>
      </w:r>
    </w:p>
    <w:p w14:paraId="73ED53F9" w14:textId="741E6A8A" w:rsidR="00843C34" w:rsidRPr="00F34CA3" w:rsidRDefault="000D463A" w:rsidP="000D463A">
      <w:pPr>
        <w:pStyle w:val="Caption"/>
      </w:pPr>
      <w:bookmarkStart w:id="24" w:name="_Ref138152251"/>
      <w:bookmarkStart w:id="25" w:name="_Ref106279847"/>
      <w:r>
        <w:lastRenderedPageBreak/>
        <w:t xml:space="preserve">Table </w:t>
      </w:r>
      <w:fldSimple w:instr=" SEQ Table \* ARABIC ">
        <w:r w:rsidR="00C02B88">
          <w:rPr>
            <w:noProof/>
          </w:rPr>
          <w:t>13</w:t>
        </w:r>
      </w:fldSimple>
      <w:bookmarkEnd w:id="24"/>
      <w:bookmarkEnd w:id="25"/>
      <w:r w:rsidR="00843C34">
        <w:t xml:space="preserve">: </w:t>
      </w:r>
      <w:r w:rsidR="00843C34" w:rsidRPr="00F34CA3">
        <w:t>Standardized Data Fields for Linear Lamps</w:t>
      </w:r>
    </w:p>
    <w:tbl>
      <w:tblPr>
        <w:tblStyle w:val="BPATable-classic"/>
        <w:tblW w:w="0" w:type="auto"/>
        <w:tblLook w:val="04A0" w:firstRow="1" w:lastRow="0" w:firstColumn="1" w:lastColumn="0" w:noHBand="0" w:noVBand="1"/>
      </w:tblPr>
      <w:tblGrid>
        <w:gridCol w:w="2014"/>
        <w:gridCol w:w="4033"/>
        <w:gridCol w:w="1239"/>
        <w:gridCol w:w="2065"/>
      </w:tblGrid>
      <w:tr w:rsidR="00843C34" w:rsidRPr="00F34CA3" w14:paraId="6E7C2632" w14:textId="77777777" w:rsidTr="00843C3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72BB7243" w14:textId="77777777" w:rsidR="00843C34" w:rsidRPr="00F34CA3" w:rsidRDefault="00843C34" w:rsidP="00E91E47">
            <w:pPr>
              <w:keepNext/>
              <w:spacing w:after="40"/>
              <w:jc w:val="center"/>
              <w:rPr>
                <w:rFonts w:cs="Segoe UI"/>
                <w:szCs w:val="20"/>
              </w:rPr>
            </w:pPr>
            <w:r w:rsidRPr="00F34CA3">
              <w:rPr>
                <w:rFonts w:cs="Segoe UI"/>
                <w:szCs w:val="20"/>
              </w:rPr>
              <w:t>Lighting Technology Type</w:t>
            </w:r>
          </w:p>
        </w:tc>
        <w:tc>
          <w:tcPr>
            <w:tcW w:w="4033" w:type="dxa"/>
            <w:noWrap/>
            <w:hideMark/>
          </w:tcPr>
          <w:p w14:paraId="1C1B6975"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General Category</w:t>
            </w:r>
          </w:p>
        </w:tc>
        <w:tc>
          <w:tcPr>
            <w:tcW w:w="1239" w:type="dxa"/>
            <w:noWrap/>
            <w:hideMark/>
          </w:tcPr>
          <w:p w14:paraId="62A95D62"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Dimension</w:t>
            </w:r>
          </w:p>
        </w:tc>
        <w:tc>
          <w:tcPr>
            <w:tcW w:w="2065" w:type="dxa"/>
            <w:noWrap/>
            <w:hideMark/>
          </w:tcPr>
          <w:p w14:paraId="16705511" w14:textId="77777777" w:rsidR="00843C34" w:rsidRPr="00F34CA3" w:rsidRDefault="00843C34" w:rsidP="00E91E47">
            <w:pPr>
              <w:keepNext/>
              <w:spacing w:after="40"/>
              <w:jc w:val="center"/>
              <w:cnfStyle w:val="100000000000" w:firstRow="1"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Subcategory</w:t>
            </w:r>
          </w:p>
        </w:tc>
      </w:tr>
      <w:tr w:rsidR="00843C34" w:rsidRPr="00F34CA3" w14:paraId="54522AB0"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2BD22EC5"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395916E8"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29D085DE"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3FAC6958"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34W</w:t>
            </w:r>
          </w:p>
        </w:tc>
      </w:tr>
      <w:tr w:rsidR="00843C34" w:rsidRPr="00F34CA3" w14:paraId="761AA270"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6F3C73FB"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7D3A6069"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4391A2A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45194937"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40W</w:t>
            </w:r>
          </w:p>
        </w:tc>
      </w:tr>
      <w:tr w:rsidR="00843C34" w:rsidRPr="00F34CA3" w14:paraId="4F6DAF7F"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76D68C42"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1FCFBDA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7FAABADA"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53CF369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r w:rsidR="00843C34" w:rsidRPr="00F34CA3" w14:paraId="2A909928"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DF26BE9"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18229C2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02CCEA66"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0A48EBF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U-Shape</w:t>
            </w:r>
          </w:p>
        </w:tc>
      </w:tr>
      <w:tr w:rsidR="00843C34" w:rsidRPr="00F34CA3" w14:paraId="3EC7F2A5"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8504FC5"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0C10DE4C"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F34CA3">
              <w:rPr>
                <w:rFonts w:cs="Segoe UI"/>
                <w:bCs/>
                <w:szCs w:val="20"/>
              </w:rPr>
              <w:t>T8 - High Performance 800 Series or Better</w:t>
            </w:r>
          </w:p>
        </w:tc>
        <w:tc>
          <w:tcPr>
            <w:tcW w:w="1239" w:type="dxa"/>
            <w:noWrap/>
            <w:hideMark/>
          </w:tcPr>
          <w:p w14:paraId="7E2CBB6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151E199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25W</w:t>
            </w:r>
          </w:p>
        </w:tc>
      </w:tr>
      <w:tr w:rsidR="00843C34" w:rsidRPr="00F34CA3" w14:paraId="5E47FFE3"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17B48068"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02AECECE"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F34CA3">
              <w:rPr>
                <w:rFonts w:cs="Segoe UI"/>
                <w:bCs/>
                <w:szCs w:val="20"/>
              </w:rPr>
              <w:t>T8 - High Performance 800 Series or Better</w:t>
            </w:r>
          </w:p>
        </w:tc>
        <w:tc>
          <w:tcPr>
            <w:tcW w:w="1239" w:type="dxa"/>
            <w:noWrap/>
            <w:hideMark/>
          </w:tcPr>
          <w:p w14:paraId="0740711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4E3EE79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28W</w:t>
            </w:r>
          </w:p>
        </w:tc>
      </w:tr>
      <w:tr w:rsidR="00843C34" w:rsidRPr="00F34CA3" w14:paraId="1FAC9720"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B30892D"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600B316D"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F34CA3">
              <w:rPr>
                <w:rFonts w:cs="Segoe UI"/>
                <w:bCs/>
                <w:szCs w:val="20"/>
              </w:rPr>
              <w:t>T8 - High Performance 800 Series or Better</w:t>
            </w:r>
          </w:p>
        </w:tc>
        <w:tc>
          <w:tcPr>
            <w:tcW w:w="1239" w:type="dxa"/>
            <w:noWrap/>
            <w:hideMark/>
          </w:tcPr>
          <w:p w14:paraId="287417A3"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08BB976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32W</w:t>
            </w:r>
          </w:p>
        </w:tc>
      </w:tr>
      <w:tr w:rsidR="00843C34" w:rsidRPr="00F34CA3" w14:paraId="0D97858E"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3B2E6364"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tcPr>
          <w:p w14:paraId="7DA7D91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F34CA3">
              <w:rPr>
                <w:rFonts w:cs="Segoe UI"/>
                <w:bCs/>
                <w:szCs w:val="20"/>
              </w:rPr>
              <w:t>T8 - High Performance 800 Series or Better</w:t>
            </w:r>
          </w:p>
        </w:tc>
        <w:tc>
          <w:tcPr>
            <w:tcW w:w="1239" w:type="dxa"/>
            <w:noWrap/>
          </w:tcPr>
          <w:p w14:paraId="2B3FC7B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48DE2753"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r w:rsidR="00843C34" w:rsidRPr="00F34CA3" w14:paraId="2F698E7A"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08EB495E"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tcPr>
          <w:p w14:paraId="456A582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F34CA3">
              <w:rPr>
                <w:rFonts w:cs="Segoe UI"/>
                <w:bCs/>
                <w:szCs w:val="20"/>
              </w:rPr>
              <w:t>T8 - Standard 700 Series</w:t>
            </w:r>
          </w:p>
        </w:tc>
        <w:tc>
          <w:tcPr>
            <w:tcW w:w="1239" w:type="dxa"/>
            <w:noWrap/>
          </w:tcPr>
          <w:p w14:paraId="1BC43160"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50A6F09D"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32W</w:t>
            </w:r>
          </w:p>
        </w:tc>
      </w:tr>
      <w:tr w:rsidR="00843C34" w:rsidRPr="00F34CA3" w14:paraId="0239A145"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7F8BB72F"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2DFF7040"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bCs/>
                <w:szCs w:val="20"/>
              </w:rPr>
            </w:pPr>
            <w:r w:rsidRPr="00F34CA3">
              <w:rPr>
                <w:rFonts w:cs="Segoe UI"/>
                <w:bCs/>
                <w:szCs w:val="20"/>
              </w:rPr>
              <w:t>T8 - Standard 700 Series</w:t>
            </w:r>
          </w:p>
        </w:tc>
        <w:tc>
          <w:tcPr>
            <w:tcW w:w="1239" w:type="dxa"/>
            <w:noWrap/>
            <w:hideMark/>
          </w:tcPr>
          <w:p w14:paraId="3B820990"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06B5A9A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r w:rsidR="00843C34" w:rsidRPr="00F34CA3" w14:paraId="4B89DFDF"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77EC7961"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tcPr>
          <w:p w14:paraId="45F9699D"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bCs/>
                <w:szCs w:val="20"/>
              </w:rPr>
              <w:t>T8 - Standard 700 Series</w:t>
            </w:r>
          </w:p>
        </w:tc>
        <w:tc>
          <w:tcPr>
            <w:tcW w:w="1239" w:type="dxa"/>
            <w:noWrap/>
          </w:tcPr>
          <w:p w14:paraId="0C5581AF"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475CBB4A"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U-Shape</w:t>
            </w:r>
          </w:p>
        </w:tc>
      </w:tr>
      <w:tr w:rsidR="00843C34" w:rsidRPr="00F34CA3" w14:paraId="25D67517"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35E4DA0"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53D49DE8"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T5</w:t>
            </w:r>
          </w:p>
        </w:tc>
        <w:tc>
          <w:tcPr>
            <w:tcW w:w="1239" w:type="dxa"/>
            <w:noWrap/>
            <w:hideMark/>
          </w:tcPr>
          <w:p w14:paraId="1EBAC29F"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7DC91278"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28W</w:t>
            </w:r>
          </w:p>
        </w:tc>
      </w:tr>
      <w:tr w:rsidR="00843C34" w:rsidRPr="00F34CA3" w14:paraId="1ACB5ABB"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2F56B19F"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2BE8F86E"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T5</w:t>
            </w:r>
          </w:p>
        </w:tc>
        <w:tc>
          <w:tcPr>
            <w:tcW w:w="1239" w:type="dxa"/>
            <w:noWrap/>
            <w:hideMark/>
          </w:tcPr>
          <w:p w14:paraId="238F5B5F"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4DB102F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54W</w:t>
            </w:r>
          </w:p>
        </w:tc>
      </w:tr>
      <w:tr w:rsidR="00843C34" w:rsidRPr="00F34CA3" w14:paraId="22064724"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66476BA"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572B7949"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T5</w:t>
            </w:r>
          </w:p>
        </w:tc>
        <w:tc>
          <w:tcPr>
            <w:tcW w:w="1239" w:type="dxa"/>
            <w:noWrap/>
            <w:hideMark/>
          </w:tcPr>
          <w:p w14:paraId="39D8DCCE"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4F9BAB4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r w:rsidR="00843C34" w:rsidRPr="00F34CA3" w14:paraId="20D89A9B"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65E3F815"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75B12CD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29116369"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8-foot</w:t>
            </w:r>
          </w:p>
        </w:tc>
        <w:tc>
          <w:tcPr>
            <w:tcW w:w="2065" w:type="dxa"/>
            <w:noWrap/>
            <w:hideMark/>
          </w:tcPr>
          <w:p w14:paraId="1B1F750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Slimline</w:t>
            </w:r>
          </w:p>
        </w:tc>
      </w:tr>
      <w:tr w:rsidR="00843C34" w:rsidRPr="00F34CA3" w14:paraId="29705B95"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0AFEDB9"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683F9BA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6B42965A"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8-foot</w:t>
            </w:r>
          </w:p>
        </w:tc>
        <w:tc>
          <w:tcPr>
            <w:tcW w:w="2065" w:type="dxa"/>
            <w:noWrap/>
            <w:hideMark/>
          </w:tcPr>
          <w:p w14:paraId="748EE83D"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High Output</w:t>
            </w:r>
          </w:p>
        </w:tc>
      </w:tr>
      <w:tr w:rsidR="00843C34" w:rsidRPr="00F34CA3" w14:paraId="3B60DF6E"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56761A80"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0BE3834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T12</w:t>
            </w:r>
          </w:p>
        </w:tc>
        <w:tc>
          <w:tcPr>
            <w:tcW w:w="1239" w:type="dxa"/>
            <w:noWrap/>
            <w:hideMark/>
          </w:tcPr>
          <w:p w14:paraId="322F3DE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8-foot</w:t>
            </w:r>
          </w:p>
        </w:tc>
        <w:tc>
          <w:tcPr>
            <w:tcW w:w="2065" w:type="dxa"/>
            <w:noWrap/>
          </w:tcPr>
          <w:p w14:paraId="59660F2C"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r w:rsidR="00843C34" w:rsidRPr="00F34CA3" w14:paraId="3BC1EF15"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0E684DA4"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5277356A"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T8</w:t>
            </w:r>
          </w:p>
        </w:tc>
        <w:tc>
          <w:tcPr>
            <w:tcW w:w="1239" w:type="dxa"/>
            <w:noWrap/>
            <w:hideMark/>
          </w:tcPr>
          <w:p w14:paraId="4248FD1F"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8-foot</w:t>
            </w:r>
          </w:p>
        </w:tc>
        <w:tc>
          <w:tcPr>
            <w:tcW w:w="2065" w:type="dxa"/>
            <w:noWrap/>
            <w:hideMark/>
          </w:tcPr>
          <w:p w14:paraId="0523716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Slimline</w:t>
            </w:r>
          </w:p>
        </w:tc>
      </w:tr>
      <w:tr w:rsidR="00843C34" w:rsidRPr="00F34CA3" w14:paraId="5C6C65F0"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19FDC5BC"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37976D40"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T8</w:t>
            </w:r>
          </w:p>
        </w:tc>
        <w:tc>
          <w:tcPr>
            <w:tcW w:w="1239" w:type="dxa"/>
            <w:noWrap/>
            <w:hideMark/>
          </w:tcPr>
          <w:p w14:paraId="474713AE"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8-foot</w:t>
            </w:r>
          </w:p>
        </w:tc>
        <w:tc>
          <w:tcPr>
            <w:tcW w:w="2065" w:type="dxa"/>
            <w:noWrap/>
            <w:hideMark/>
          </w:tcPr>
          <w:p w14:paraId="0CCAD57A"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High Output</w:t>
            </w:r>
          </w:p>
        </w:tc>
      </w:tr>
      <w:tr w:rsidR="00843C34" w:rsidRPr="00F34CA3" w14:paraId="61379086"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458F8001" w14:textId="77777777" w:rsidR="00843C34" w:rsidRPr="00843C34" w:rsidRDefault="00843C34" w:rsidP="00F80570">
            <w:pPr>
              <w:keepNext/>
              <w:spacing w:after="40"/>
              <w:jc w:val="center"/>
              <w:rPr>
                <w:rFonts w:cs="Segoe UI"/>
                <w:szCs w:val="20"/>
              </w:rPr>
            </w:pPr>
            <w:r w:rsidRPr="00843C34">
              <w:rPr>
                <w:rFonts w:cs="Segoe UI"/>
                <w:szCs w:val="20"/>
              </w:rPr>
              <w:t>Linear Fluorescent</w:t>
            </w:r>
          </w:p>
        </w:tc>
        <w:tc>
          <w:tcPr>
            <w:tcW w:w="4033" w:type="dxa"/>
            <w:noWrap/>
            <w:hideMark/>
          </w:tcPr>
          <w:p w14:paraId="2D2E7BB5"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T8</w:t>
            </w:r>
          </w:p>
        </w:tc>
        <w:tc>
          <w:tcPr>
            <w:tcW w:w="1239" w:type="dxa"/>
            <w:noWrap/>
            <w:hideMark/>
          </w:tcPr>
          <w:p w14:paraId="6B4CA45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8-foot</w:t>
            </w:r>
          </w:p>
        </w:tc>
        <w:tc>
          <w:tcPr>
            <w:tcW w:w="2065" w:type="dxa"/>
            <w:noWrap/>
            <w:hideMark/>
          </w:tcPr>
          <w:p w14:paraId="7648C84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r w:rsidR="00843C34" w:rsidRPr="00F34CA3" w14:paraId="0BCA838A"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2BB04AF5" w14:textId="77777777" w:rsidR="00843C34" w:rsidRPr="00843C34" w:rsidRDefault="00843C34" w:rsidP="00F80570">
            <w:pPr>
              <w:keepNext/>
              <w:spacing w:after="40"/>
              <w:jc w:val="center"/>
              <w:rPr>
                <w:rFonts w:cs="Segoe UI"/>
                <w:szCs w:val="20"/>
              </w:rPr>
            </w:pPr>
            <w:r w:rsidRPr="00843C34">
              <w:rPr>
                <w:rFonts w:cs="Segoe UI"/>
                <w:szCs w:val="20"/>
              </w:rPr>
              <w:t>LED</w:t>
            </w:r>
          </w:p>
        </w:tc>
        <w:tc>
          <w:tcPr>
            <w:tcW w:w="4033" w:type="dxa"/>
            <w:noWrap/>
            <w:hideMark/>
          </w:tcPr>
          <w:p w14:paraId="25387086"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LED Tubes</w:t>
            </w:r>
          </w:p>
        </w:tc>
        <w:tc>
          <w:tcPr>
            <w:tcW w:w="1239" w:type="dxa"/>
            <w:noWrap/>
            <w:hideMark/>
          </w:tcPr>
          <w:p w14:paraId="01417E27"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48915DD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eastAsia="Calibri" w:cs="Segoe UI"/>
                <w:color w:val="000000"/>
                <w:szCs w:val="20"/>
              </w:rPr>
              <w:t>UL Type A - Plug-and-Play/Direct Replacement</w:t>
            </w:r>
          </w:p>
        </w:tc>
      </w:tr>
      <w:tr w:rsidR="00843C34" w:rsidRPr="00F34CA3" w14:paraId="0F6D01F1"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7324F010" w14:textId="77777777" w:rsidR="00843C34" w:rsidRPr="00843C34" w:rsidRDefault="00843C34" w:rsidP="00F80570">
            <w:pPr>
              <w:keepNext/>
              <w:spacing w:after="40"/>
              <w:jc w:val="center"/>
              <w:rPr>
                <w:rFonts w:cs="Segoe UI"/>
                <w:szCs w:val="20"/>
              </w:rPr>
            </w:pPr>
            <w:r w:rsidRPr="00843C34">
              <w:rPr>
                <w:rFonts w:cs="Segoe UI"/>
                <w:szCs w:val="20"/>
              </w:rPr>
              <w:t>LED</w:t>
            </w:r>
          </w:p>
        </w:tc>
        <w:tc>
          <w:tcPr>
            <w:tcW w:w="4033" w:type="dxa"/>
            <w:noWrap/>
          </w:tcPr>
          <w:p w14:paraId="6B1A9916"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LED Tubes</w:t>
            </w:r>
          </w:p>
        </w:tc>
        <w:tc>
          <w:tcPr>
            <w:tcW w:w="1239" w:type="dxa"/>
            <w:noWrap/>
          </w:tcPr>
          <w:p w14:paraId="766FC3D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38B83F9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eastAsia="Calibri" w:cs="Segoe UI"/>
                <w:color w:val="000000"/>
                <w:szCs w:val="20"/>
              </w:rPr>
              <w:t>UL Type B - Ballast Bypass</w:t>
            </w:r>
          </w:p>
        </w:tc>
      </w:tr>
      <w:tr w:rsidR="00843C34" w:rsidRPr="00F34CA3" w14:paraId="06164DB7"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63F02BDA" w14:textId="77777777" w:rsidR="00843C34" w:rsidRPr="00843C34" w:rsidRDefault="00843C34" w:rsidP="00F80570">
            <w:pPr>
              <w:keepNext/>
              <w:spacing w:after="40"/>
              <w:jc w:val="center"/>
              <w:rPr>
                <w:rFonts w:cs="Segoe UI"/>
                <w:szCs w:val="20"/>
              </w:rPr>
            </w:pPr>
            <w:r w:rsidRPr="00843C34">
              <w:rPr>
                <w:rFonts w:cs="Segoe UI"/>
                <w:szCs w:val="20"/>
              </w:rPr>
              <w:t>LED</w:t>
            </w:r>
          </w:p>
        </w:tc>
        <w:tc>
          <w:tcPr>
            <w:tcW w:w="4033" w:type="dxa"/>
            <w:noWrap/>
          </w:tcPr>
          <w:p w14:paraId="0FCF37F8"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LED Tubes</w:t>
            </w:r>
          </w:p>
        </w:tc>
        <w:tc>
          <w:tcPr>
            <w:tcW w:w="1239" w:type="dxa"/>
            <w:noWrap/>
          </w:tcPr>
          <w:p w14:paraId="1BA2DC8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51F383DB" w14:textId="20AD9602"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UL Type A/B – Dual</w:t>
            </w:r>
            <w:r w:rsidR="008C3269">
              <w:rPr>
                <w:rFonts w:eastAsia="Calibri" w:cs="Segoe UI"/>
                <w:color w:val="000000"/>
                <w:szCs w:val="20"/>
              </w:rPr>
              <w:t>-</w:t>
            </w:r>
            <w:r w:rsidRPr="00F34CA3">
              <w:rPr>
                <w:rFonts w:eastAsia="Calibri" w:cs="Segoe UI"/>
                <w:color w:val="000000"/>
                <w:szCs w:val="20"/>
              </w:rPr>
              <w:t>Mode/Hybrid</w:t>
            </w:r>
          </w:p>
        </w:tc>
      </w:tr>
      <w:tr w:rsidR="00843C34" w:rsidRPr="00F34CA3" w14:paraId="145FCC4F"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20B02133" w14:textId="77777777" w:rsidR="00843C34" w:rsidRPr="00843C34" w:rsidRDefault="00843C34" w:rsidP="00F80570">
            <w:pPr>
              <w:keepNext/>
              <w:spacing w:after="40"/>
              <w:jc w:val="center"/>
              <w:rPr>
                <w:rFonts w:cs="Segoe UI"/>
                <w:szCs w:val="20"/>
              </w:rPr>
            </w:pPr>
            <w:r w:rsidRPr="00843C34">
              <w:rPr>
                <w:rFonts w:cs="Segoe UI"/>
                <w:szCs w:val="20"/>
              </w:rPr>
              <w:t>LED</w:t>
            </w:r>
          </w:p>
        </w:tc>
        <w:tc>
          <w:tcPr>
            <w:tcW w:w="4033" w:type="dxa"/>
            <w:noWrap/>
          </w:tcPr>
          <w:p w14:paraId="1FF6727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LED Tubes</w:t>
            </w:r>
          </w:p>
        </w:tc>
        <w:tc>
          <w:tcPr>
            <w:tcW w:w="1239" w:type="dxa"/>
            <w:noWrap/>
          </w:tcPr>
          <w:p w14:paraId="4C918636"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05D696B2"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eastAsia="Calibri" w:cs="Segoe UI"/>
                <w:color w:val="000000"/>
                <w:szCs w:val="20"/>
              </w:rPr>
            </w:pPr>
            <w:r w:rsidRPr="00F34CA3">
              <w:rPr>
                <w:rFonts w:eastAsia="Calibri" w:cs="Segoe UI"/>
                <w:color w:val="000000"/>
                <w:szCs w:val="20"/>
              </w:rPr>
              <w:t>UL Type C – Remote Driver</w:t>
            </w:r>
          </w:p>
        </w:tc>
      </w:tr>
      <w:tr w:rsidR="00843C34" w:rsidRPr="00F34CA3" w14:paraId="72A4D899"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tcPr>
          <w:p w14:paraId="3A2DBB88" w14:textId="77777777" w:rsidR="00843C34" w:rsidRPr="00843C34" w:rsidRDefault="00843C34" w:rsidP="00F80570">
            <w:pPr>
              <w:keepNext/>
              <w:spacing w:after="40"/>
              <w:jc w:val="center"/>
              <w:rPr>
                <w:rFonts w:cs="Segoe UI"/>
                <w:szCs w:val="20"/>
              </w:rPr>
            </w:pPr>
            <w:r w:rsidRPr="00843C34">
              <w:rPr>
                <w:rFonts w:cs="Segoe UI"/>
                <w:szCs w:val="20"/>
              </w:rPr>
              <w:t>LED</w:t>
            </w:r>
          </w:p>
        </w:tc>
        <w:tc>
          <w:tcPr>
            <w:tcW w:w="4033" w:type="dxa"/>
            <w:noWrap/>
          </w:tcPr>
          <w:p w14:paraId="0780192A"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LED Tubes</w:t>
            </w:r>
          </w:p>
        </w:tc>
        <w:tc>
          <w:tcPr>
            <w:tcW w:w="1239" w:type="dxa"/>
            <w:noWrap/>
          </w:tcPr>
          <w:p w14:paraId="5852220B"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tcPr>
          <w:p w14:paraId="61F0EC44"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eastAsia="Calibri" w:cs="Segoe UI"/>
                <w:color w:val="000000"/>
                <w:szCs w:val="20"/>
              </w:rPr>
              <w:t>T5 Replacements</w:t>
            </w:r>
          </w:p>
        </w:tc>
      </w:tr>
      <w:tr w:rsidR="00843C34" w:rsidRPr="00F34CA3" w14:paraId="6AC12457" w14:textId="77777777" w:rsidTr="00843C34">
        <w:trPr>
          <w:trHeight w:val="300"/>
        </w:trPr>
        <w:tc>
          <w:tcPr>
            <w:cnfStyle w:val="001000000000" w:firstRow="0" w:lastRow="0" w:firstColumn="1" w:lastColumn="0" w:oddVBand="0" w:evenVBand="0" w:oddHBand="0" w:evenHBand="0" w:firstRowFirstColumn="0" w:firstRowLastColumn="0" w:lastRowFirstColumn="0" w:lastRowLastColumn="0"/>
            <w:tcW w:w="2014" w:type="dxa"/>
            <w:noWrap/>
            <w:hideMark/>
          </w:tcPr>
          <w:p w14:paraId="39165500" w14:textId="77777777" w:rsidR="00843C34" w:rsidRPr="00843C34" w:rsidRDefault="00843C34" w:rsidP="00F80570">
            <w:pPr>
              <w:keepNext/>
              <w:spacing w:after="40"/>
              <w:jc w:val="center"/>
              <w:rPr>
                <w:rFonts w:cs="Segoe UI"/>
                <w:szCs w:val="20"/>
              </w:rPr>
            </w:pPr>
            <w:r w:rsidRPr="00843C34">
              <w:rPr>
                <w:rFonts w:cs="Segoe UI"/>
                <w:szCs w:val="20"/>
              </w:rPr>
              <w:t>LED</w:t>
            </w:r>
          </w:p>
        </w:tc>
        <w:tc>
          <w:tcPr>
            <w:tcW w:w="4033" w:type="dxa"/>
            <w:noWrap/>
            <w:hideMark/>
          </w:tcPr>
          <w:p w14:paraId="28C7BEBD"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LED Tubes</w:t>
            </w:r>
          </w:p>
        </w:tc>
        <w:tc>
          <w:tcPr>
            <w:tcW w:w="1239" w:type="dxa"/>
            <w:noWrap/>
            <w:hideMark/>
          </w:tcPr>
          <w:p w14:paraId="11ED150E"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4-foot</w:t>
            </w:r>
          </w:p>
        </w:tc>
        <w:tc>
          <w:tcPr>
            <w:tcW w:w="2065" w:type="dxa"/>
            <w:noWrap/>
            <w:hideMark/>
          </w:tcPr>
          <w:p w14:paraId="4F4D7CFF" w14:textId="77777777" w:rsidR="00843C34" w:rsidRPr="00F34CA3" w:rsidRDefault="00843C34" w:rsidP="00F80570">
            <w:pPr>
              <w:keepNext/>
              <w:jc w:val="center"/>
              <w:cnfStyle w:val="000000000000" w:firstRow="0" w:lastRow="0" w:firstColumn="0" w:lastColumn="0" w:oddVBand="0" w:evenVBand="0" w:oddHBand="0" w:evenHBand="0" w:firstRowFirstColumn="0" w:firstRowLastColumn="0" w:lastRowFirstColumn="0" w:lastRowLastColumn="0"/>
              <w:rPr>
                <w:rFonts w:cs="Segoe UI"/>
                <w:szCs w:val="20"/>
              </w:rPr>
            </w:pPr>
            <w:r w:rsidRPr="00F34CA3">
              <w:rPr>
                <w:rFonts w:cs="Segoe UI"/>
                <w:szCs w:val="20"/>
              </w:rPr>
              <w:t>Other</w:t>
            </w:r>
          </w:p>
        </w:tc>
      </w:tr>
    </w:tbl>
    <w:p w14:paraId="0E9C186B" w14:textId="77777777" w:rsidR="00843C34" w:rsidRPr="00F34CA3" w:rsidRDefault="00843C34" w:rsidP="00843C34">
      <w:pPr>
        <w:pStyle w:val="Source"/>
      </w:pPr>
      <w:r w:rsidRPr="00F34CA3">
        <w:t>Source: Distributor sales data structure</w:t>
      </w:r>
    </w:p>
    <w:p w14:paraId="1561692F" w14:textId="77777777" w:rsidR="00843C34" w:rsidRPr="00F34CA3" w:rsidRDefault="00843C34" w:rsidP="00843C34">
      <w:pPr>
        <w:pStyle w:val="Heading8"/>
      </w:pPr>
      <w:r w:rsidRPr="00F34CA3">
        <w:lastRenderedPageBreak/>
        <w:t>Adjusting for Linear Product Overrepresentation</w:t>
      </w:r>
    </w:p>
    <w:p w14:paraId="550CFF46" w14:textId="595F8357" w:rsidR="00843C34" w:rsidRPr="00F34CA3" w:rsidRDefault="00843C34" w:rsidP="00843C34">
      <w:pPr>
        <w:pStyle w:val="BodyText"/>
      </w:pPr>
      <w:r w:rsidRPr="00F34CA3">
        <w:t>Over the course of the study, linear fluorescent sales have been slightly overrepresented relative to other technologies.</w:t>
      </w:r>
      <w:r w:rsidRPr="00F34CA3">
        <w:rPr>
          <w:b/>
        </w:rPr>
        <w:t xml:space="preserve"> </w:t>
      </w:r>
      <w:r w:rsidRPr="00F34CA3">
        <w:t xml:space="preserve">The NEEA RWLR data </w:t>
      </w:r>
      <w:r>
        <w:t>the research team</w:t>
      </w:r>
      <w:r w:rsidRPr="00F34CA3">
        <w:t xml:space="preserve"> collected included linear lamp sales from non</w:t>
      </w:r>
      <w:r w:rsidR="008C3269">
        <w:t>participating</w:t>
      </w:r>
      <w:r w:rsidRPr="00F34CA3">
        <w:t xml:space="preserve"> distributors (i.e., distributors that did not submit full-category lighting data). </w:t>
      </w:r>
      <w:r>
        <w:t>L</w:t>
      </w:r>
      <w:r w:rsidRPr="00F34CA3">
        <w:t xml:space="preserve">inear product sales may be overrepresented relative to other technology types </w:t>
      </w:r>
      <w:r>
        <w:t>b</w:t>
      </w:r>
      <w:r w:rsidRPr="00F34CA3">
        <w:t xml:space="preserve">ecause these distributors only submitted linear fluorescent and TLED (linear product) data and did not submit sales data for other categories. </w:t>
      </w:r>
      <w:r>
        <w:t>The research team</w:t>
      </w:r>
      <w:r w:rsidRPr="00F34CA3">
        <w:t xml:space="preserve"> created an adjustment to address the overrepresentation and ensure the sales mix reported in the adjusted data accurately reflects the best estimate of the overall product mix of the lighting market.</w:t>
      </w:r>
    </w:p>
    <w:p w14:paraId="6EA9FA0B" w14:textId="77777777" w:rsidR="00843C34" w:rsidRPr="00F34CA3" w:rsidRDefault="00843C34" w:rsidP="00843C34">
      <w:pPr>
        <w:pStyle w:val="BodyText"/>
      </w:pPr>
      <w:r>
        <w:t>The research team</w:t>
      </w:r>
      <w:r w:rsidRPr="00F34CA3">
        <w:t xml:space="preserve"> identified four distributors that only provided linear product data through RWLR in the study period. </w:t>
      </w:r>
      <w:r>
        <w:t>The research team</w:t>
      </w:r>
      <w:r w:rsidRPr="00F34CA3">
        <w:t xml:space="preserve"> had two core priorities in developing the adjustment:</w:t>
      </w:r>
    </w:p>
    <w:p w14:paraId="09EA5B21" w14:textId="27571B8B" w:rsidR="00843C34" w:rsidRPr="00F34CA3" w:rsidRDefault="00843C34" w:rsidP="00843C34">
      <w:pPr>
        <w:pStyle w:val="ListBullet"/>
      </w:pPr>
      <w:r w:rsidRPr="00F34CA3">
        <w:t xml:space="preserve">Adjust the </w:t>
      </w:r>
      <w:r w:rsidRPr="00F34CA3">
        <w:rPr>
          <w:i/>
          <w:iCs/>
        </w:rPr>
        <w:t>overall quantities</w:t>
      </w:r>
      <w:r w:rsidRPr="00F34CA3">
        <w:t xml:space="preserve"> of linear products to account for overrepresentation from these four distributors and ensure the </w:t>
      </w:r>
      <w:r w:rsidRPr="00F34CA3">
        <w:rPr>
          <w:i/>
          <w:iCs/>
        </w:rPr>
        <w:t>overall</w:t>
      </w:r>
      <w:r w:rsidRPr="00F34CA3">
        <w:t xml:space="preserve"> product sales mix across technologies is accurate</w:t>
      </w:r>
      <w:r w:rsidR="00F80570">
        <w:t>.</w:t>
      </w:r>
    </w:p>
    <w:p w14:paraId="7EB6C073" w14:textId="1B53DF0C" w:rsidR="00843C34" w:rsidRPr="00F34CA3" w:rsidRDefault="00843C34" w:rsidP="00843C34">
      <w:pPr>
        <w:pStyle w:val="ListBullet"/>
      </w:pPr>
      <w:r w:rsidRPr="00F34CA3">
        <w:t xml:space="preserve">Maintain the </w:t>
      </w:r>
      <w:r w:rsidRPr="00F34CA3">
        <w:rPr>
          <w:i/>
        </w:rPr>
        <w:t xml:space="preserve">sales </w:t>
      </w:r>
      <w:r w:rsidRPr="00F34CA3">
        <w:rPr>
          <w:i/>
          <w:iCs/>
        </w:rPr>
        <w:t>mix</w:t>
      </w:r>
      <w:r w:rsidRPr="00F34CA3">
        <w:t xml:space="preserve"> within the linear product category to incorporate the information from these RWLR-only participants and ensure the data reflect the most accurate sales mix</w:t>
      </w:r>
      <w:r w:rsidR="00F80570">
        <w:t>.</w:t>
      </w:r>
    </w:p>
    <w:p w14:paraId="4401F636" w14:textId="1C3109C5" w:rsidR="00843C34" w:rsidRPr="00F34CA3" w:rsidRDefault="00843C34" w:rsidP="00843C34">
      <w:pPr>
        <w:pStyle w:val="BodyText"/>
      </w:pPr>
      <w:r>
        <w:t>The research team</w:t>
      </w:r>
      <w:r w:rsidRPr="00F34CA3">
        <w:t xml:space="preserve"> developed an annual percentage adjustment to linear product sales data to reduce the quantity of these lamps and better reflect the best estimate of the overall product mix. The linear adjustment is included in the associated Market Results Spreadsheet</w:t>
      </w:r>
      <w:r w:rsidRPr="00F34CA3">
        <w:rPr>
          <w:rStyle w:val="FootnoteReference"/>
        </w:rPr>
        <w:footnoteReference w:id="13"/>
      </w:r>
      <w:r w:rsidRPr="00F34CA3">
        <w:t xml:space="preserve"> as </w:t>
      </w:r>
      <w:r w:rsidRPr="00F34CA3">
        <w:rPr>
          <w:i/>
          <w:iCs/>
        </w:rPr>
        <w:t>Linear Adjustment</w:t>
      </w:r>
      <w:r w:rsidRPr="00F34CA3">
        <w:t xml:space="preserve"> and is multiplied by the original </w:t>
      </w:r>
      <w:r w:rsidRPr="00F34CA3">
        <w:rPr>
          <w:i/>
          <w:iCs/>
        </w:rPr>
        <w:t>Sales Qty</w:t>
      </w:r>
      <w:r w:rsidRPr="00F34CA3">
        <w:t xml:space="preserve"> column to derive an adjusted value (</w:t>
      </w:r>
      <w:r w:rsidRPr="00F34CA3">
        <w:rPr>
          <w:i/>
          <w:iCs/>
        </w:rPr>
        <w:t>Sales Qty with Linear Adjustment</w:t>
      </w:r>
      <w:r w:rsidRPr="00F34CA3">
        <w:t>). The adjustment is segmented by year, so it preserves the mix within the linear product category</w:t>
      </w:r>
      <w:r>
        <w:rPr>
          <w:rFonts w:cs="Segoe UI"/>
        </w:rPr>
        <w:t>—</w:t>
      </w:r>
      <w:r w:rsidRPr="00F34CA3">
        <w:t xml:space="preserve">the adjustment utilizes the strong RWLR data while providing an unbiased estimation of overall sales mix. </w:t>
      </w:r>
      <w:r w:rsidR="000D463A">
        <w:fldChar w:fldCharType="begin"/>
      </w:r>
      <w:r w:rsidR="000D463A">
        <w:instrText xml:space="preserve"> REF _Ref138152293 \h </w:instrText>
      </w:r>
      <w:r w:rsidR="000D463A">
        <w:fldChar w:fldCharType="separate"/>
      </w:r>
      <w:r w:rsidR="00C02B88">
        <w:t xml:space="preserve">Table </w:t>
      </w:r>
      <w:r w:rsidR="00C02B88">
        <w:rPr>
          <w:noProof/>
        </w:rPr>
        <w:t>14</w:t>
      </w:r>
      <w:r w:rsidR="000D463A">
        <w:fldChar w:fldCharType="end"/>
      </w:r>
      <w:r>
        <w:t xml:space="preserve"> shows the adjustments by year.</w:t>
      </w:r>
    </w:p>
    <w:p w14:paraId="1A4F47F7" w14:textId="6261AEDD" w:rsidR="00843C34" w:rsidRPr="00F34CA3" w:rsidRDefault="000D463A" w:rsidP="000D463A">
      <w:pPr>
        <w:pStyle w:val="Caption"/>
      </w:pPr>
      <w:bookmarkStart w:id="26" w:name="_Ref138152293"/>
      <w:bookmarkStart w:id="27" w:name="_Ref106283402"/>
      <w:r>
        <w:lastRenderedPageBreak/>
        <w:t xml:space="preserve">Table </w:t>
      </w:r>
      <w:fldSimple w:instr=" SEQ Table \* ARABIC ">
        <w:r w:rsidR="00C02B88">
          <w:rPr>
            <w:noProof/>
          </w:rPr>
          <w:t>14</w:t>
        </w:r>
      </w:fldSimple>
      <w:bookmarkEnd w:id="26"/>
      <w:r>
        <w:t>:</w:t>
      </w:r>
      <w:bookmarkStart w:id="28" w:name="_Ref79665410"/>
      <w:bookmarkEnd w:id="27"/>
      <w:r w:rsidR="00843C34" w:rsidRPr="00074A9C">
        <w:t xml:space="preserve"> </w:t>
      </w:r>
      <w:r w:rsidR="00843C34" w:rsidRPr="00F34CA3">
        <w:t>Linear Adjustments by Year</w:t>
      </w:r>
      <w:bookmarkEnd w:id="28"/>
    </w:p>
    <w:tbl>
      <w:tblPr>
        <w:tblStyle w:val="BPATable-classic"/>
        <w:tblW w:w="0" w:type="auto"/>
        <w:tblLook w:val="04A0" w:firstRow="1" w:lastRow="0" w:firstColumn="1" w:lastColumn="0" w:noHBand="0" w:noVBand="1"/>
      </w:tblPr>
      <w:tblGrid>
        <w:gridCol w:w="1440"/>
        <w:gridCol w:w="2160"/>
      </w:tblGrid>
      <w:tr w:rsidR="00843C34" w:rsidRPr="00F34CA3" w14:paraId="7F6CDCAE" w14:textId="77777777" w:rsidTr="00843C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E889A1B" w14:textId="77777777" w:rsidR="00843C34" w:rsidRPr="00F34CA3" w:rsidRDefault="00843C34" w:rsidP="00E91E47">
            <w:pPr>
              <w:keepNext/>
              <w:jc w:val="center"/>
              <w:rPr>
                <w:color w:val="FFFFFF" w:themeColor="background1"/>
              </w:rPr>
            </w:pPr>
            <w:r w:rsidRPr="00F34CA3">
              <w:rPr>
                <w:color w:val="FFFFFF" w:themeColor="background1"/>
              </w:rPr>
              <w:t>Year</w:t>
            </w:r>
          </w:p>
        </w:tc>
        <w:tc>
          <w:tcPr>
            <w:tcW w:w="2160" w:type="dxa"/>
          </w:tcPr>
          <w:p w14:paraId="098CF3AD" w14:textId="77777777" w:rsidR="00843C34" w:rsidRPr="00F34CA3" w:rsidRDefault="00843C34" w:rsidP="00E91E47">
            <w:pPr>
              <w:keepN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A3">
              <w:rPr>
                <w:color w:val="FFFFFF" w:themeColor="background1"/>
              </w:rPr>
              <w:t>Linear Adjustment</w:t>
            </w:r>
          </w:p>
        </w:tc>
      </w:tr>
      <w:tr w:rsidR="00843C34" w:rsidRPr="00F34CA3" w14:paraId="211B1B6E"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0E5AFF31" w14:textId="77777777" w:rsidR="00843C34" w:rsidRPr="00F34CA3" w:rsidRDefault="00843C34" w:rsidP="0099049A">
            <w:pPr>
              <w:keepNext/>
              <w:jc w:val="center"/>
            </w:pPr>
            <w:r w:rsidRPr="00F34CA3">
              <w:t>2013</w:t>
            </w:r>
          </w:p>
        </w:tc>
        <w:tc>
          <w:tcPr>
            <w:tcW w:w="2160" w:type="dxa"/>
          </w:tcPr>
          <w:p w14:paraId="53FCB791" w14:textId="77777777"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93.1%</w:t>
            </w:r>
          </w:p>
        </w:tc>
      </w:tr>
      <w:tr w:rsidR="00843C34" w:rsidRPr="00F34CA3" w14:paraId="2605796C"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27F81810" w14:textId="77777777" w:rsidR="00843C34" w:rsidRPr="00F34CA3" w:rsidRDefault="00843C34" w:rsidP="0099049A">
            <w:pPr>
              <w:keepNext/>
              <w:jc w:val="center"/>
            </w:pPr>
            <w:r w:rsidRPr="00F34CA3">
              <w:t>2014</w:t>
            </w:r>
          </w:p>
        </w:tc>
        <w:tc>
          <w:tcPr>
            <w:tcW w:w="2160" w:type="dxa"/>
          </w:tcPr>
          <w:p w14:paraId="73BFF421" w14:textId="307C2C6C"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91.</w:t>
            </w:r>
            <w:r w:rsidR="00B21B6D">
              <w:t>7</w:t>
            </w:r>
            <w:r w:rsidRPr="00F34CA3">
              <w:t>%</w:t>
            </w:r>
          </w:p>
        </w:tc>
      </w:tr>
      <w:tr w:rsidR="00843C34" w:rsidRPr="00F34CA3" w14:paraId="03D08E97"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3B0FD936" w14:textId="77777777" w:rsidR="00843C34" w:rsidRPr="00F34CA3" w:rsidRDefault="00843C34" w:rsidP="0099049A">
            <w:pPr>
              <w:keepNext/>
              <w:jc w:val="center"/>
            </w:pPr>
            <w:r w:rsidRPr="00F34CA3">
              <w:t>2015</w:t>
            </w:r>
          </w:p>
        </w:tc>
        <w:tc>
          <w:tcPr>
            <w:tcW w:w="2160" w:type="dxa"/>
          </w:tcPr>
          <w:p w14:paraId="6A0CB033" w14:textId="71F5FAEE"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92.</w:t>
            </w:r>
            <w:r w:rsidR="00B21B6D">
              <w:t>4</w:t>
            </w:r>
            <w:r w:rsidRPr="00F34CA3">
              <w:t>%</w:t>
            </w:r>
          </w:p>
        </w:tc>
      </w:tr>
      <w:tr w:rsidR="00843C34" w:rsidRPr="00F34CA3" w14:paraId="29218AB4"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72FAE635" w14:textId="77777777" w:rsidR="00843C34" w:rsidRPr="00F34CA3" w:rsidRDefault="00843C34" w:rsidP="0099049A">
            <w:pPr>
              <w:keepNext/>
              <w:jc w:val="center"/>
            </w:pPr>
            <w:r w:rsidRPr="00F34CA3">
              <w:t>2016</w:t>
            </w:r>
          </w:p>
        </w:tc>
        <w:tc>
          <w:tcPr>
            <w:tcW w:w="2160" w:type="dxa"/>
          </w:tcPr>
          <w:p w14:paraId="1E5E77AB" w14:textId="70B41A5F"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w:t>
            </w:r>
            <w:r w:rsidR="00B21B6D">
              <w:t>3.7</w:t>
            </w:r>
            <w:r w:rsidRPr="00F34CA3">
              <w:t>%</w:t>
            </w:r>
          </w:p>
        </w:tc>
      </w:tr>
      <w:tr w:rsidR="00843C34" w:rsidRPr="00F34CA3" w14:paraId="63D7420B"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06D2DBFC" w14:textId="77777777" w:rsidR="00843C34" w:rsidRPr="00F34CA3" w:rsidRDefault="00843C34" w:rsidP="0099049A">
            <w:pPr>
              <w:keepNext/>
              <w:jc w:val="center"/>
            </w:pPr>
            <w:r w:rsidRPr="00F34CA3">
              <w:t>2017</w:t>
            </w:r>
          </w:p>
        </w:tc>
        <w:tc>
          <w:tcPr>
            <w:tcW w:w="2160" w:type="dxa"/>
          </w:tcPr>
          <w:p w14:paraId="624DF5B0" w14:textId="36E508DC"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w:t>
            </w:r>
            <w:r w:rsidR="00B21B6D">
              <w:t>3.9</w:t>
            </w:r>
            <w:r w:rsidRPr="00F34CA3">
              <w:t>%</w:t>
            </w:r>
          </w:p>
        </w:tc>
      </w:tr>
      <w:tr w:rsidR="00843C34" w:rsidRPr="00F34CA3" w14:paraId="753C3D27"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540D896B" w14:textId="77777777" w:rsidR="00843C34" w:rsidRPr="00F34CA3" w:rsidRDefault="00843C34" w:rsidP="0099049A">
            <w:pPr>
              <w:keepNext/>
              <w:jc w:val="center"/>
            </w:pPr>
            <w:r w:rsidRPr="00F34CA3">
              <w:t>2018</w:t>
            </w:r>
          </w:p>
        </w:tc>
        <w:tc>
          <w:tcPr>
            <w:tcW w:w="2160" w:type="dxa"/>
          </w:tcPr>
          <w:p w14:paraId="265DBD84" w14:textId="249E5907"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w:t>
            </w:r>
            <w:r w:rsidR="00B21B6D">
              <w:t>4.1</w:t>
            </w:r>
            <w:r w:rsidRPr="00F34CA3">
              <w:t>%</w:t>
            </w:r>
          </w:p>
        </w:tc>
      </w:tr>
      <w:tr w:rsidR="00843C34" w:rsidRPr="00F34CA3" w14:paraId="0BD944AA"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2302F6F5" w14:textId="77777777" w:rsidR="00843C34" w:rsidRPr="00F34CA3" w:rsidRDefault="00843C34" w:rsidP="0099049A">
            <w:pPr>
              <w:keepNext/>
              <w:jc w:val="center"/>
            </w:pPr>
            <w:r w:rsidRPr="00F34CA3">
              <w:t>2019</w:t>
            </w:r>
          </w:p>
        </w:tc>
        <w:tc>
          <w:tcPr>
            <w:tcW w:w="2160" w:type="dxa"/>
          </w:tcPr>
          <w:p w14:paraId="43C8DD29" w14:textId="67ECA60A"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w:t>
            </w:r>
            <w:r w:rsidR="00B21B6D">
              <w:t>3.3</w:t>
            </w:r>
            <w:r w:rsidRPr="00F34CA3">
              <w:t>%</w:t>
            </w:r>
          </w:p>
        </w:tc>
      </w:tr>
      <w:tr w:rsidR="00843C34" w:rsidRPr="00F34CA3" w14:paraId="3A31A9F6"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292BEE46" w14:textId="77777777" w:rsidR="00843C34" w:rsidRPr="00F34CA3" w:rsidRDefault="00843C34" w:rsidP="0099049A">
            <w:pPr>
              <w:keepNext/>
              <w:jc w:val="center"/>
            </w:pPr>
            <w:r w:rsidRPr="00F34CA3">
              <w:t>2020</w:t>
            </w:r>
          </w:p>
        </w:tc>
        <w:tc>
          <w:tcPr>
            <w:tcW w:w="2160" w:type="dxa"/>
          </w:tcPr>
          <w:p w14:paraId="1560B5F8" w14:textId="299AA3E6" w:rsidR="00843C34" w:rsidRPr="00F34CA3" w:rsidRDefault="00843C34" w:rsidP="00843C34">
            <w:pPr>
              <w:keepNext/>
              <w:jc w:val="center"/>
              <w:cnfStyle w:val="000000000000" w:firstRow="0" w:lastRow="0" w:firstColumn="0" w:lastColumn="0" w:oddVBand="0" w:evenVBand="0" w:oddHBand="0" w:evenHBand="0" w:firstRowFirstColumn="0" w:firstRowLastColumn="0" w:lastRowFirstColumn="0" w:lastRowLastColumn="0"/>
            </w:pPr>
            <w:r w:rsidRPr="00F34CA3">
              <w:t>9</w:t>
            </w:r>
            <w:r w:rsidR="00B21B6D">
              <w:t>3.3</w:t>
            </w:r>
            <w:r w:rsidRPr="00F34CA3">
              <w:t>%</w:t>
            </w:r>
          </w:p>
        </w:tc>
      </w:tr>
      <w:tr w:rsidR="00B21B6D" w:rsidRPr="00F34CA3" w14:paraId="2CF96CC7"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1FF82957" w14:textId="420A4513" w:rsidR="00B21B6D" w:rsidRPr="00F34CA3" w:rsidRDefault="00B21B6D" w:rsidP="0099049A">
            <w:pPr>
              <w:keepNext/>
              <w:jc w:val="center"/>
            </w:pPr>
            <w:r>
              <w:t>2021</w:t>
            </w:r>
          </w:p>
        </w:tc>
        <w:tc>
          <w:tcPr>
            <w:tcW w:w="2160" w:type="dxa"/>
          </w:tcPr>
          <w:p w14:paraId="0E56A4B5" w14:textId="20844591" w:rsidR="00B21B6D" w:rsidRPr="00F34CA3" w:rsidRDefault="00B21B6D" w:rsidP="00843C34">
            <w:pPr>
              <w:keepNext/>
              <w:jc w:val="center"/>
              <w:cnfStyle w:val="000000000000" w:firstRow="0" w:lastRow="0" w:firstColumn="0" w:lastColumn="0" w:oddVBand="0" w:evenVBand="0" w:oddHBand="0" w:evenHBand="0" w:firstRowFirstColumn="0" w:firstRowLastColumn="0" w:lastRowFirstColumn="0" w:lastRowLastColumn="0"/>
            </w:pPr>
            <w:r>
              <w:t>93.9%</w:t>
            </w:r>
          </w:p>
        </w:tc>
      </w:tr>
      <w:tr w:rsidR="00B21B6D" w:rsidRPr="00F34CA3" w14:paraId="518417E0" w14:textId="77777777" w:rsidTr="00843C34">
        <w:tc>
          <w:tcPr>
            <w:cnfStyle w:val="001000000000" w:firstRow="0" w:lastRow="0" w:firstColumn="1" w:lastColumn="0" w:oddVBand="0" w:evenVBand="0" w:oddHBand="0" w:evenHBand="0" w:firstRowFirstColumn="0" w:firstRowLastColumn="0" w:lastRowFirstColumn="0" w:lastRowLastColumn="0"/>
            <w:tcW w:w="1440" w:type="dxa"/>
          </w:tcPr>
          <w:p w14:paraId="3AD448C2" w14:textId="18EB9F91" w:rsidR="00B21B6D" w:rsidRPr="00F34CA3" w:rsidRDefault="00B21B6D" w:rsidP="0099049A">
            <w:pPr>
              <w:keepNext/>
              <w:jc w:val="center"/>
            </w:pPr>
            <w:r>
              <w:t>2022</w:t>
            </w:r>
          </w:p>
        </w:tc>
        <w:tc>
          <w:tcPr>
            <w:tcW w:w="2160" w:type="dxa"/>
          </w:tcPr>
          <w:p w14:paraId="7CF8027B" w14:textId="63C63D60" w:rsidR="00B21B6D" w:rsidRPr="00F34CA3" w:rsidRDefault="00B21B6D" w:rsidP="00843C34">
            <w:pPr>
              <w:keepNext/>
              <w:jc w:val="center"/>
              <w:cnfStyle w:val="000000000000" w:firstRow="0" w:lastRow="0" w:firstColumn="0" w:lastColumn="0" w:oddVBand="0" w:evenVBand="0" w:oddHBand="0" w:evenHBand="0" w:firstRowFirstColumn="0" w:firstRowLastColumn="0" w:lastRowFirstColumn="0" w:lastRowLastColumn="0"/>
            </w:pPr>
            <w:r>
              <w:t>93.1%</w:t>
            </w:r>
          </w:p>
        </w:tc>
      </w:tr>
    </w:tbl>
    <w:p w14:paraId="546361FB" w14:textId="77777777" w:rsidR="00843C34" w:rsidRDefault="00843C34" w:rsidP="00843C34"/>
    <w:p w14:paraId="03B2B3F4" w14:textId="1E215A55" w:rsidR="00843C34" w:rsidRDefault="00843C34" w:rsidP="00843C34">
      <w:pPr>
        <w:pStyle w:val="BodyText"/>
      </w:pPr>
      <w:r w:rsidRPr="00F34CA3">
        <w:t xml:space="preserve">The adjustments </w:t>
      </w:r>
      <w:r>
        <w:t>the research team</w:t>
      </w:r>
      <w:r w:rsidRPr="00F34CA3">
        <w:t xml:space="preserve"> developed are equal to the total linear product sales in each year excluding the four distributors, divided by the total linear product sales in each year including the four distributors (e.g., in 202</w:t>
      </w:r>
      <w:r w:rsidR="00B21B6D">
        <w:t>2</w:t>
      </w:r>
      <w:r w:rsidRPr="00F34CA3">
        <w:t xml:space="preserve">, </w:t>
      </w:r>
      <w:r w:rsidR="00B21B6D">
        <w:t>7</w:t>
      </w:r>
      <w:r w:rsidRPr="00F34CA3">
        <w:t xml:space="preserve">% of total linear product sales were accounted for by these four distributors, resulting in an adjustment of 100% </w:t>
      </w:r>
      <w:r w:rsidR="0099049A" w:rsidRPr="0099049A">
        <w:t>−</w:t>
      </w:r>
      <w:r w:rsidRPr="00F34CA3">
        <w:t xml:space="preserve"> </w:t>
      </w:r>
      <w:r w:rsidR="00B21B6D">
        <w:t>7</w:t>
      </w:r>
      <w:r w:rsidRPr="00F34CA3">
        <w:t>% = 9</w:t>
      </w:r>
      <w:r w:rsidR="00B21B6D">
        <w:t>3</w:t>
      </w:r>
      <w:r w:rsidRPr="00F34CA3">
        <w:t>%).</w:t>
      </w:r>
    </w:p>
    <w:p w14:paraId="79AE3BFA" w14:textId="77777777" w:rsidR="00843C34" w:rsidRPr="00F34CA3" w:rsidRDefault="00843C34" w:rsidP="00843C34">
      <w:pPr>
        <w:pStyle w:val="Heading8"/>
      </w:pPr>
      <w:r w:rsidRPr="00F34CA3">
        <w:t>Processing Raw Sales Data (Data Dumps) and Mapping to Standardized Fields</w:t>
      </w:r>
    </w:p>
    <w:p w14:paraId="2C3FE9B2" w14:textId="53314FAE" w:rsidR="00843C34" w:rsidRPr="00F34CA3" w:rsidRDefault="00843C34" w:rsidP="00843C34">
      <w:pPr>
        <w:pStyle w:val="BodyText"/>
      </w:pPr>
      <w:bookmarkStart w:id="29" w:name="_Hlk514144335"/>
      <w:r w:rsidRPr="00F34CA3">
        <w:t xml:space="preserve">In 2018, 2019, and 2020, three distributors did not use the Excel-based form to provide sales. The research team used a combination of R and SQL logic, web scraping, and manual classification to map these raw data to the SQL </w:t>
      </w:r>
      <w:r w:rsidR="00A85E8A">
        <w:t>s</w:t>
      </w:r>
      <w:r w:rsidRPr="00F34CA3">
        <w:t>erver database categories. Lighting product descriptions and model numbers do not follow consistent formatting and often vary by manufacturer, making automated classification of products often just as time intensive as a strictly manual approach.</w:t>
      </w:r>
    </w:p>
    <w:bookmarkEnd w:id="29"/>
    <w:p w14:paraId="2AF51F84" w14:textId="77777777" w:rsidR="00843C34" w:rsidRPr="00F34CA3" w:rsidRDefault="00843C34" w:rsidP="00843C34">
      <w:pPr>
        <w:pStyle w:val="BodyText"/>
      </w:pPr>
      <w:r w:rsidRPr="00F34CA3">
        <w:t>The research team used Python, R</w:t>
      </w:r>
      <w:r>
        <w:t>,</w:t>
      </w:r>
      <w:r w:rsidRPr="00F34CA3">
        <w:t xml:space="preserve"> and SQL to: </w:t>
      </w:r>
    </w:p>
    <w:p w14:paraId="18C6DA3B" w14:textId="488B1D91" w:rsidR="00843C34" w:rsidRPr="00F34CA3" w:rsidRDefault="00843C34">
      <w:pPr>
        <w:pStyle w:val="ListNumber"/>
        <w:numPr>
          <w:ilvl w:val="0"/>
          <w:numId w:val="8"/>
        </w:numPr>
      </w:pPr>
      <w:r w:rsidRPr="00F34CA3">
        <w:t>Identify products from previous years leveraging existing mappings to classify as many products as possible</w:t>
      </w:r>
      <w:r w:rsidR="0099049A">
        <w:t>.</w:t>
      </w:r>
    </w:p>
    <w:p w14:paraId="1FAEC3A8" w14:textId="2B21A11A" w:rsidR="00843C34" w:rsidRPr="00F34CA3" w:rsidRDefault="00843C34">
      <w:pPr>
        <w:pStyle w:val="ListNumber"/>
        <w:numPr>
          <w:ilvl w:val="0"/>
          <w:numId w:val="8"/>
        </w:numPr>
      </w:pPr>
      <w:r w:rsidRPr="00F34CA3">
        <w:t>Leverage an automated process to look</w:t>
      </w:r>
      <w:r w:rsidR="00A85E8A">
        <w:t xml:space="preserve"> up </w:t>
      </w:r>
      <w:r w:rsidRPr="00F34CA3">
        <w:t>model numbers on known manufacturer websites</w:t>
      </w:r>
      <w:r w:rsidR="0099049A">
        <w:t>.</w:t>
      </w:r>
    </w:p>
    <w:p w14:paraId="0E94BCAE" w14:textId="2C5CAFCE" w:rsidR="00843C34" w:rsidRPr="00F34CA3" w:rsidRDefault="00843C34">
      <w:pPr>
        <w:pStyle w:val="ListNumber"/>
        <w:numPr>
          <w:ilvl w:val="0"/>
          <w:numId w:val="8"/>
        </w:numPr>
      </w:pPr>
      <w:r w:rsidRPr="00F34CA3">
        <w:t>Extract specific product characteristics from model number and product description fields</w:t>
      </w:r>
      <w:r w:rsidR="0099049A">
        <w:t>.</w:t>
      </w:r>
      <w:r w:rsidRPr="00F34CA3">
        <w:t xml:space="preserve"> </w:t>
      </w:r>
    </w:p>
    <w:p w14:paraId="7B171EF9" w14:textId="77777777" w:rsidR="00843C34" w:rsidRPr="00F34CA3" w:rsidRDefault="00843C34" w:rsidP="00843C34">
      <w:pPr>
        <w:pStyle w:val="BodyText"/>
      </w:pPr>
      <w:r w:rsidRPr="00F34CA3">
        <w:t xml:space="preserve">The research team manually mapped products using a combination of available data fields and online model number searches for products that the R and SQL code could not easily map. </w:t>
      </w:r>
    </w:p>
    <w:p w14:paraId="3397DCD4" w14:textId="1B1847D1" w:rsidR="00843C34" w:rsidRDefault="0004598A" w:rsidP="0004598A">
      <w:pPr>
        <w:pStyle w:val="Heading6"/>
      </w:pPr>
      <w:r>
        <w:lastRenderedPageBreak/>
        <w:t>Appendix 4: Market Scaling Factors</w:t>
      </w:r>
    </w:p>
    <w:p w14:paraId="23B5AECF" w14:textId="06D514FB" w:rsidR="00AD1AC7" w:rsidRDefault="0099049A" w:rsidP="0004598A">
      <w:pPr>
        <w:pStyle w:val="BodyText"/>
      </w:pPr>
      <w:r>
        <w:t>A</w:t>
      </w:r>
      <w:r w:rsidR="0004598A">
        <w:t xml:space="preserve">nnual collected distributor sales data is the primary sales data source in BPA’s </w:t>
      </w:r>
      <w:r w:rsidR="00AD1AC7">
        <w:t>N</w:t>
      </w:r>
      <w:r w:rsidR="0004598A">
        <w:t>on-</w:t>
      </w:r>
      <w:r w:rsidR="00AD1AC7">
        <w:t>R</w:t>
      </w:r>
      <w:r w:rsidR="0004598A">
        <w:t xml:space="preserve">esidential </w:t>
      </w:r>
      <w:r w:rsidR="00AD1AC7">
        <w:t>L</w:t>
      </w:r>
      <w:r w:rsidR="0004598A">
        <w:t xml:space="preserve">ighting </w:t>
      </w:r>
      <w:r w:rsidR="00AD1AC7">
        <w:t>M</w:t>
      </w:r>
      <w:r w:rsidR="0004598A">
        <w:t xml:space="preserve">arket </w:t>
      </w:r>
      <w:r w:rsidR="00AD1AC7">
        <w:t>M</w:t>
      </w:r>
      <w:r w:rsidR="0004598A">
        <w:t>odel</w:t>
      </w:r>
      <w:r w:rsidR="00D31EF1">
        <w:t xml:space="preserve"> (the model)</w:t>
      </w:r>
      <w:r w:rsidR="0004598A">
        <w:t xml:space="preserve">. </w:t>
      </w:r>
      <w:r>
        <w:t>T</w:t>
      </w:r>
      <w:r w:rsidR="0004598A">
        <w:t>he model takes additional data sources into account and estimates the full size of the non-residential lighting market,</w:t>
      </w:r>
      <w:r>
        <w:t xml:space="preserve"> so</w:t>
      </w:r>
      <w:r w:rsidR="0004598A">
        <w:t xml:space="preserve"> the sales data size and mix output by the model differs from the sales data size and mix of collected sales data.</w:t>
      </w:r>
      <w:r w:rsidR="00AD1AC7">
        <w:t xml:space="preserve"> </w:t>
      </w:r>
      <w:r w:rsidR="00411F02">
        <w:t>In the most recent model update (</w:t>
      </w:r>
      <w:r w:rsidR="001B6CFD">
        <w:t>2020</w:t>
      </w:r>
      <w:r>
        <w:rPr>
          <w:rFonts w:ascii="Segoe UI" w:hAnsi="Segoe UI" w:cs="Segoe UI"/>
        </w:rPr>
        <w:t>–</w:t>
      </w:r>
      <w:r w:rsidR="001B6CFD">
        <w:t>2021</w:t>
      </w:r>
      <w:r w:rsidR="00411F02">
        <w:t>)</w:t>
      </w:r>
      <w:r w:rsidR="00AD1AC7">
        <w:t>, the model was calibrated using the 2019 Commercial Building Stock Assessment</w:t>
      </w:r>
      <w:r>
        <w:t xml:space="preserve"> (CBSA)</w:t>
      </w:r>
      <w:r w:rsidR="00AD1AC7">
        <w:t xml:space="preserve"> to align the model stock estimates with the stock results in the CBSA. This calibration resulted in further adjustments to the estimate</w:t>
      </w:r>
      <w:r w:rsidR="00411F02">
        <w:t>d</w:t>
      </w:r>
      <w:r w:rsidR="00AD1AC7">
        <w:t xml:space="preserve"> total market </w:t>
      </w:r>
      <w:r w:rsidR="00411F02">
        <w:t xml:space="preserve">sales </w:t>
      </w:r>
      <w:r w:rsidR="00AD1AC7">
        <w:t>mix to align model stock outputs with 2019 CBSA stock outputs.</w:t>
      </w:r>
    </w:p>
    <w:p w14:paraId="38ECC057" w14:textId="7A8530B0" w:rsidR="0004598A" w:rsidRDefault="00AD1AC7" w:rsidP="0004598A">
      <w:pPr>
        <w:pStyle w:val="BodyText"/>
      </w:pPr>
      <w:r>
        <w:t>In 2021, the research team cal</w:t>
      </w:r>
      <w:r w:rsidR="0004598A">
        <w:t xml:space="preserve">culated market scaling factors to </w:t>
      </w:r>
      <w:r w:rsidR="00411F02">
        <w:t xml:space="preserve">express the difference between </w:t>
      </w:r>
      <w:r w:rsidR="0004598A">
        <w:t xml:space="preserve">sales data collected from regional distributors </w:t>
      </w:r>
      <w:r w:rsidR="00411F02">
        <w:t xml:space="preserve">and </w:t>
      </w:r>
      <w:r w:rsidR="0004598A">
        <w:t xml:space="preserve">outputs from </w:t>
      </w:r>
      <w:r w:rsidR="00D31EF1">
        <w:t>the mode</w:t>
      </w:r>
      <w:r w:rsidR="00411F02">
        <w:t>l</w:t>
      </w:r>
      <w:r w:rsidR="0004598A">
        <w:t xml:space="preserve">. The </w:t>
      </w:r>
      <w:r w:rsidR="008C3269">
        <w:t xml:space="preserve">research </w:t>
      </w:r>
      <w:r w:rsidR="0004598A">
        <w:t xml:space="preserve">team calculated these scaling factors by aggregating sales data into technology categories that map to </w:t>
      </w:r>
      <w:r w:rsidR="00D31EF1">
        <w:t>the model</w:t>
      </w:r>
      <w:r w:rsidR="0004598A">
        <w:t xml:space="preserve"> technologies, and then dividing the modeled sales in each technology-year by the observed sales collected from distributors</w:t>
      </w:r>
      <w:r w:rsidR="00411F02">
        <w:t xml:space="preserve"> (including extrapolated sales)</w:t>
      </w:r>
      <w:r w:rsidR="0004598A">
        <w:t xml:space="preserve">. The scaling factor accounts primarily for the market size (i.e., total market sales volume) estimated by the </w:t>
      </w:r>
      <w:r w:rsidR="00D31EF1">
        <w:t>m</w:t>
      </w:r>
      <w:r w:rsidR="0004598A">
        <w:t xml:space="preserve">odel. The market size is determined as an output of the Market Model, so the </w:t>
      </w:r>
      <w:r w:rsidR="00411F02">
        <w:t xml:space="preserve">accuracy </w:t>
      </w:r>
      <w:r w:rsidR="0004598A">
        <w:t xml:space="preserve">of the scaling factors is dependent on the </w:t>
      </w:r>
      <w:r w:rsidR="00D31EF1">
        <w:t>model</w:t>
      </w:r>
      <w:r w:rsidR="0004598A">
        <w:t xml:space="preserve"> parameterization being correct. The </w:t>
      </w:r>
      <w:r w:rsidR="008C3269">
        <w:t xml:space="preserve">research </w:t>
      </w:r>
      <w:r w:rsidR="0004598A">
        <w:t xml:space="preserve">team has leveraged the best available data and developed model inputs with care, but model inputs do have uncertainty associated with them, which may result in changes to model turnover, market size, and consequently market scaling factors. The </w:t>
      </w:r>
      <w:r w:rsidR="008C3269">
        <w:t xml:space="preserve">research </w:t>
      </w:r>
      <w:r w:rsidR="0004598A">
        <w:t xml:space="preserve">team </w:t>
      </w:r>
      <w:r w:rsidR="00411F02">
        <w:t xml:space="preserve">calculated </w:t>
      </w:r>
      <w:r w:rsidR="0004598A">
        <w:t>the market scaling factor</w:t>
      </w:r>
      <w:r>
        <w:t xml:space="preserve">, shown in </w:t>
      </w:r>
      <w:r>
        <w:rPr>
          <w:highlight w:val="yellow"/>
        </w:rPr>
        <w:fldChar w:fldCharType="begin"/>
      </w:r>
      <w:r>
        <w:instrText xml:space="preserve"> REF _Ref135125715 \h </w:instrText>
      </w:r>
      <w:r>
        <w:rPr>
          <w:highlight w:val="yellow"/>
        </w:rPr>
      </w:r>
      <w:r>
        <w:rPr>
          <w:highlight w:val="yellow"/>
        </w:rPr>
        <w:fldChar w:fldCharType="separate"/>
      </w:r>
      <w:r w:rsidR="00C02B88">
        <w:t xml:space="preserve">Table </w:t>
      </w:r>
      <w:r w:rsidR="00C02B88">
        <w:rPr>
          <w:noProof/>
        </w:rPr>
        <w:t>15</w:t>
      </w:r>
      <w:r>
        <w:rPr>
          <w:highlight w:val="yellow"/>
        </w:rPr>
        <w:fldChar w:fldCharType="end"/>
      </w:r>
      <w:r>
        <w:t>,</w:t>
      </w:r>
      <w:r w:rsidR="0004598A">
        <w:t xml:space="preserve"> at the technology level, differentiated by year.</w:t>
      </w:r>
    </w:p>
    <w:p w14:paraId="3F50A1DF" w14:textId="5447AF47" w:rsidR="00AD1AC7" w:rsidRDefault="00AD1AC7" w:rsidP="00AD1AC7">
      <w:pPr>
        <w:pStyle w:val="Caption"/>
      </w:pPr>
      <w:bookmarkStart w:id="30" w:name="_Ref135125715"/>
      <w:r>
        <w:t xml:space="preserve">Table </w:t>
      </w:r>
      <w:fldSimple w:instr=" SEQ Table \* ARABIC ">
        <w:r w:rsidR="00C02B88">
          <w:rPr>
            <w:noProof/>
          </w:rPr>
          <w:t>15</w:t>
        </w:r>
      </w:fldSimple>
      <w:bookmarkEnd w:id="30"/>
      <w:r>
        <w:t>: Market Scaling Factors by Technology by Year</w:t>
      </w:r>
    </w:p>
    <w:tbl>
      <w:tblPr>
        <w:tblStyle w:val="BPATable-classic"/>
        <w:tblW w:w="8232" w:type="dxa"/>
        <w:tblLook w:val="04A0" w:firstRow="1" w:lastRow="0" w:firstColumn="1" w:lastColumn="0" w:noHBand="0" w:noVBand="1"/>
      </w:tblPr>
      <w:tblGrid>
        <w:gridCol w:w="2140"/>
        <w:gridCol w:w="1029"/>
        <w:gridCol w:w="1029"/>
        <w:gridCol w:w="1029"/>
        <w:gridCol w:w="1029"/>
        <w:gridCol w:w="1040"/>
        <w:gridCol w:w="624"/>
        <w:gridCol w:w="312"/>
      </w:tblGrid>
      <w:tr w:rsidR="008C3269" w14:paraId="2F23661D" w14:textId="77777777" w:rsidTr="008C3269">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140" w:type="dxa"/>
          </w:tcPr>
          <w:p w14:paraId="40C30A93" w14:textId="36CE200C" w:rsidR="008C3269" w:rsidRDefault="008C3269" w:rsidP="008C3269">
            <w:pPr>
              <w:pStyle w:val="BodyText"/>
            </w:pPr>
            <w:r>
              <w:t>Technology</w:t>
            </w:r>
          </w:p>
        </w:tc>
        <w:tc>
          <w:tcPr>
            <w:tcW w:w="1029" w:type="dxa"/>
          </w:tcPr>
          <w:p w14:paraId="15797CCD" w14:textId="171AE9AA"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r>
              <w:t>2015</w:t>
            </w:r>
          </w:p>
        </w:tc>
        <w:tc>
          <w:tcPr>
            <w:tcW w:w="1029" w:type="dxa"/>
          </w:tcPr>
          <w:p w14:paraId="70B57E51" w14:textId="12C99009"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r>
              <w:t>2016</w:t>
            </w:r>
          </w:p>
        </w:tc>
        <w:tc>
          <w:tcPr>
            <w:tcW w:w="1029" w:type="dxa"/>
          </w:tcPr>
          <w:p w14:paraId="7DBBCBF4" w14:textId="096E52F5"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r>
              <w:t>2017</w:t>
            </w:r>
          </w:p>
        </w:tc>
        <w:tc>
          <w:tcPr>
            <w:tcW w:w="1029" w:type="dxa"/>
          </w:tcPr>
          <w:p w14:paraId="288C4A73" w14:textId="26CACFB1"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r>
              <w:t>2018</w:t>
            </w:r>
          </w:p>
        </w:tc>
        <w:tc>
          <w:tcPr>
            <w:tcW w:w="1040" w:type="dxa"/>
          </w:tcPr>
          <w:p w14:paraId="524FED08" w14:textId="2CA45AD8"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r>
              <w:t>2019</w:t>
            </w:r>
          </w:p>
        </w:tc>
        <w:tc>
          <w:tcPr>
            <w:tcW w:w="624" w:type="dxa"/>
          </w:tcPr>
          <w:p w14:paraId="17B6A560" w14:textId="43096C96"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r>
              <w:t>2020</w:t>
            </w:r>
          </w:p>
        </w:tc>
        <w:tc>
          <w:tcPr>
            <w:tcW w:w="312" w:type="dxa"/>
          </w:tcPr>
          <w:p w14:paraId="05D886F6" w14:textId="08F0C4B2" w:rsidR="008C3269" w:rsidRDefault="008C3269" w:rsidP="008C3269">
            <w:pPr>
              <w:pStyle w:val="BodyText"/>
              <w:cnfStyle w:val="100000000000" w:firstRow="1" w:lastRow="0" w:firstColumn="0" w:lastColumn="0" w:oddVBand="0" w:evenVBand="0" w:oddHBand="0" w:evenHBand="0" w:firstRowFirstColumn="0" w:firstRowLastColumn="0" w:lastRowFirstColumn="0" w:lastRowLastColumn="0"/>
            </w:pPr>
          </w:p>
        </w:tc>
      </w:tr>
      <w:tr w:rsidR="008C3269" w14:paraId="662AA2A3"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7C1123AC" w14:textId="34BD16D4" w:rsidR="008C3269" w:rsidRDefault="008C3269" w:rsidP="008C3269">
            <w:pPr>
              <w:pStyle w:val="BodyText"/>
            </w:pPr>
            <w:r>
              <w:t>25W T8</w:t>
            </w:r>
          </w:p>
        </w:tc>
        <w:tc>
          <w:tcPr>
            <w:tcW w:w="1029" w:type="dxa"/>
          </w:tcPr>
          <w:p w14:paraId="38928614" w14:textId="16B535A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2.41</w:t>
            </w:r>
          </w:p>
        </w:tc>
        <w:tc>
          <w:tcPr>
            <w:tcW w:w="1029" w:type="dxa"/>
          </w:tcPr>
          <w:p w14:paraId="682E8C33" w14:textId="6E85994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1.87</w:t>
            </w:r>
          </w:p>
        </w:tc>
        <w:tc>
          <w:tcPr>
            <w:tcW w:w="1029" w:type="dxa"/>
          </w:tcPr>
          <w:p w14:paraId="5CC55FAF" w14:textId="55BBC78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2.13</w:t>
            </w:r>
          </w:p>
        </w:tc>
        <w:tc>
          <w:tcPr>
            <w:tcW w:w="1029" w:type="dxa"/>
          </w:tcPr>
          <w:p w14:paraId="1AF4B0A4" w14:textId="18DECA5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2.32</w:t>
            </w:r>
          </w:p>
        </w:tc>
        <w:tc>
          <w:tcPr>
            <w:tcW w:w="1040" w:type="dxa"/>
          </w:tcPr>
          <w:p w14:paraId="7D32C61F" w14:textId="383DDC86"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2.58</w:t>
            </w:r>
          </w:p>
        </w:tc>
        <w:tc>
          <w:tcPr>
            <w:tcW w:w="624" w:type="dxa"/>
          </w:tcPr>
          <w:p w14:paraId="0DAC93FF" w14:textId="5B9794C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2.92</w:t>
            </w:r>
          </w:p>
        </w:tc>
        <w:tc>
          <w:tcPr>
            <w:tcW w:w="312" w:type="dxa"/>
          </w:tcPr>
          <w:p w14:paraId="427DE1A7" w14:textId="54F31D0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11D11C33"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0CAE3464" w14:textId="297011E6" w:rsidR="008C3269" w:rsidRDefault="008C3269" w:rsidP="008C3269">
            <w:pPr>
              <w:pStyle w:val="BodyText"/>
            </w:pPr>
            <w:r>
              <w:t>28W T8</w:t>
            </w:r>
          </w:p>
        </w:tc>
        <w:tc>
          <w:tcPr>
            <w:tcW w:w="1029" w:type="dxa"/>
          </w:tcPr>
          <w:p w14:paraId="121C8665" w14:textId="1BB56C9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1.56</w:t>
            </w:r>
          </w:p>
        </w:tc>
        <w:tc>
          <w:tcPr>
            <w:tcW w:w="1029" w:type="dxa"/>
          </w:tcPr>
          <w:p w14:paraId="6B5C8EA8" w14:textId="07A51A2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1.22</w:t>
            </w:r>
          </w:p>
        </w:tc>
        <w:tc>
          <w:tcPr>
            <w:tcW w:w="1029" w:type="dxa"/>
          </w:tcPr>
          <w:p w14:paraId="58D9A530" w14:textId="06BFBEF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1.38</w:t>
            </w:r>
          </w:p>
        </w:tc>
        <w:tc>
          <w:tcPr>
            <w:tcW w:w="1029" w:type="dxa"/>
          </w:tcPr>
          <w:p w14:paraId="30A2FA7B" w14:textId="21457204"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1.50</w:t>
            </w:r>
          </w:p>
        </w:tc>
        <w:tc>
          <w:tcPr>
            <w:tcW w:w="1040" w:type="dxa"/>
          </w:tcPr>
          <w:p w14:paraId="10D4DC35" w14:textId="3841C22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1.66</w:t>
            </w:r>
          </w:p>
        </w:tc>
        <w:tc>
          <w:tcPr>
            <w:tcW w:w="624" w:type="dxa"/>
          </w:tcPr>
          <w:p w14:paraId="5CFF3AF5" w14:textId="613276E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1.88</w:t>
            </w:r>
          </w:p>
        </w:tc>
        <w:tc>
          <w:tcPr>
            <w:tcW w:w="312" w:type="dxa"/>
          </w:tcPr>
          <w:p w14:paraId="177D53C7" w14:textId="30B64EF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0A3FB501"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1E3384AE" w14:textId="2CF6A227" w:rsidR="008C3269" w:rsidRDefault="008C3269" w:rsidP="008C3269">
            <w:pPr>
              <w:pStyle w:val="BodyText"/>
            </w:pPr>
            <w:r>
              <w:t>32W T8</w:t>
            </w:r>
          </w:p>
        </w:tc>
        <w:tc>
          <w:tcPr>
            <w:tcW w:w="1029" w:type="dxa"/>
          </w:tcPr>
          <w:p w14:paraId="3975CADF" w14:textId="4F461CB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5.16</w:t>
            </w:r>
          </w:p>
        </w:tc>
        <w:tc>
          <w:tcPr>
            <w:tcW w:w="1029" w:type="dxa"/>
          </w:tcPr>
          <w:p w14:paraId="76F4A7AC" w14:textId="025ECCC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4.09</w:t>
            </w:r>
          </w:p>
        </w:tc>
        <w:tc>
          <w:tcPr>
            <w:tcW w:w="1029" w:type="dxa"/>
          </w:tcPr>
          <w:p w14:paraId="22D16972" w14:textId="04C5504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4.41</w:t>
            </w:r>
          </w:p>
        </w:tc>
        <w:tc>
          <w:tcPr>
            <w:tcW w:w="1029" w:type="dxa"/>
          </w:tcPr>
          <w:p w14:paraId="56C70CE9" w14:textId="004301A7"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4.65</w:t>
            </w:r>
          </w:p>
        </w:tc>
        <w:tc>
          <w:tcPr>
            <w:tcW w:w="1040" w:type="dxa"/>
          </w:tcPr>
          <w:p w14:paraId="03790884" w14:textId="4DC2BC0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5.27</w:t>
            </w:r>
          </w:p>
        </w:tc>
        <w:tc>
          <w:tcPr>
            <w:tcW w:w="624" w:type="dxa"/>
          </w:tcPr>
          <w:p w14:paraId="105D634A" w14:textId="6809082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5.75</w:t>
            </w:r>
          </w:p>
        </w:tc>
        <w:tc>
          <w:tcPr>
            <w:tcW w:w="312" w:type="dxa"/>
          </w:tcPr>
          <w:p w14:paraId="2CE8602C" w14:textId="4685A6D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547EBA05"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490F8C9A" w14:textId="7B9950F4" w:rsidR="008C3269" w:rsidRDefault="008C3269" w:rsidP="008C3269">
            <w:pPr>
              <w:pStyle w:val="BodyText"/>
            </w:pPr>
            <w:r>
              <w:t>CFL</w:t>
            </w:r>
          </w:p>
        </w:tc>
        <w:tc>
          <w:tcPr>
            <w:tcW w:w="1029" w:type="dxa"/>
          </w:tcPr>
          <w:p w14:paraId="7491D459" w14:textId="2E1C502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4.63</w:t>
            </w:r>
          </w:p>
        </w:tc>
        <w:tc>
          <w:tcPr>
            <w:tcW w:w="1029" w:type="dxa"/>
          </w:tcPr>
          <w:p w14:paraId="198C4376" w14:textId="4512590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4.79</w:t>
            </w:r>
          </w:p>
        </w:tc>
        <w:tc>
          <w:tcPr>
            <w:tcW w:w="1029" w:type="dxa"/>
          </w:tcPr>
          <w:p w14:paraId="3504B35A" w14:textId="7E563A7E"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5.53</w:t>
            </w:r>
          </w:p>
        </w:tc>
        <w:tc>
          <w:tcPr>
            <w:tcW w:w="1029" w:type="dxa"/>
          </w:tcPr>
          <w:p w14:paraId="106140FD" w14:textId="2762E77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6.99</w:t>
            </w:r>
          </w:p>
        </w:tc>
        <w:tc>
          <w:tcPr>
            <w:tcW w:w="1040" w:type="dxa"/>
          </w:tcPr>
          <w:p w14:paraId="539CF5D5" w14:textId="42B3E1D6"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7.81</w:t>
            </w:r>
          </w:p>
        </w:tc>
        <w:tc>
          <w:tcPr>
            <w:tcW w:w="624" w:type="dxa"/>
          </w:tcPr>
          <w:p w14:paraId="24D6C491" w14:textId="3D8AF13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10.78</w:t>
            </w:r>
          </w:p>
        </w:tc>
        <w:tc>
          <w:tcPr>
            <w:tcW w:w="312" w:type="dxa"/>
          </w:tcPr>
          <w:p w14:paraId="43C92F2C" w14:textId="69B6CCA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36365A32"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1CB34309" w14:textId="14DEEE93" w:rsidR="008C3269" w:rsidRDefault="008C3269" w:rsidP="008C3269">
            <w:pPr>
              <w:pStyle w:val="BodyText"/>
            </w:pPr>
            <w:r>
              <w:t>Hal</w:t>
            </w:r>
          </w:p>
        </w:tc>
        <w:tc>
          <w:tcPr>
            <w:tcW w:w="1029" w:type="dxa"/>
          </w:tcPr>
          <w:p w14:paraId="241F755B" w14:textId="480B298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8.39</w:t>
            </w:r>
          </w:p>
        </w:tc>
        <w:tc>
          <w:tcPr>
            <w:tcW w:w="1029" w:type="dxa"/>
          </w:tcPr>
          <w:p w14:paraId="65E5E9AA" w14:textId="3744CC7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7.84</w:t>
            </w:r>
          </w:p>
        </w:tc>
        <w:tc>
          <w:tcPr>
            <w:tcW w:w="1029" w:type="dxa"/>
          </w:tcPr>
          <w:p w14:paraId="40421525" w14:textId="34C8B82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7.92</w:t>
            </w:r>
          </w:p>
        </w:tc>
        <w:tc>
          <w:tcPr>
            <w:tcW w:w="1029" w:type="dxa"/>
          </w:tcPr>
          <w:p w14:paraId="423205FB" w14:textId="752C6242"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9.29</w:t>
            </w:r>
          </w:p>
        </w:tc>
        <w:tc>
          <w:tcPr>
            <w:tcW w:w="1040" w:type="dxa"/>
          </w:tcPr>
          <w:p w14:paraId="734971C7" w14:textId="09EB964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10.12</w:t>
            </w:r>
          </w:p>
        </w:tc>
        <w:tc>
          <w:tcPr>
            <w:tcW w:w="624" w:type="dxa"/>
          </w:tcPr>
          <w:p w14:paraId="4EA63104" w14:textId="1654F9DE"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14.28</w:t>
            </w:r>
          </w:p>
        </w:tc>
        <w:tc>
          <w:tcPr>
            <w:tcW w:w="312" w:type="dxa"/>
          </w:tcPr>
          <w:p w14:paraId="249770BE" w14:textId="5E3FBF9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41624E7D"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5E2F0A00" w14:textId="2D37E20E" w:rsidR="008C3269" w:rsidRDefault="008C3269" w:rsidP="008C3269">
            <w:pPr>
              <w:pStyle w:val="BodyText"/>
            </w:pPr>
            <w:r>
              <w:t>High-Pressure Sodium</w:t>
            </w:r>
          </w:p>
        </w:tc>
        <w:tc>
          <w:tcPr>
            <w:tcW w:w="1029" w:type="dxa"/>
          </w:tcPr>
          <w:p w14:paraId="4D9F9A09" w14:textId="31BACDE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1.58</w:t>
            </w:r>
          </w:p>
        </w:tc>
        <w:tc>
          <w:tcPr>
            <w:tcW w:w="1029" w:type="dxa"/>
          </w:tcPr>
          <w:p w14:paraId="7EE524A8" w14:textId="2851C797"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1.48</w:t>
            </w:r>
          </w:p>
        </w:tc>
        <w:tc>
          <w:tcPr>
            <w:tcW w:w="1029" w:type="dxa"/>
          </w:tcPr>
          <w:p w14:paraId="37BC359F" w14:textId="7333942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1.32</w:t>
            </w:r>
          </w:p>
        </w:tc>
        <w:tc>
          <w:tcPr>
            <w:tcW w:w="1029" w:type="dxa"/>
          </w:tcPr>
          <w:p w14:paraId="4A61E084" w14:textId="7EF4C88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1.47</w:t>
            </w:r>
          </w:p>
        </w:tc>
        <w:tc>
          <w:tcPr>
            <w:tcW w:w="1040" w:type="dxa"/>
          </w:tcPr>
          <w:p w14:paraId="6008076F" w14:textId="2DF1CD5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1.74</w:t>
            </w:r>
          </w:p>
        </w:tc>
        <w:tc>
          <w:tcPr>
            <w:tcW w:w="624" w:type="dxa"/>
          </w:tcPr>
          <w:p w14:paraId="6E65FE0C" w14:textId="55026B2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2.66</w:t>
            </w:r>
          </w:p>
        </w:tc>
        <w:tc>
          <w:tcPr>
            <w:tcW w:w="312" w:type="dxa"/>
          </w:tcPr>
          <w:p w14:paraId="2FEE9842" w14:textId="58B33786"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0697EBC7"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7369E70D" w14:textId="228167B9" w:rsidR="008C3269" w:rsidRDefault="008C3269" w:rsidP="008C3269">
            <w:pPr>
              <w:pStyle w:val="BodyText"/>
            </w:pPr>
            <w:r>
              <w:t>Inc</w:t>
            </w:r>
          </w:p>
        </w:tc>
        <w:tc>
          <w:tcPr>
            <w:tcW w:w="1029" w:type="dxa"/>
          </w:tcPr>
          <w:p w14:paraId="40D1CF2A" w14:textId="5253758E"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3.74</w:t>
            </w:r>
          </w:p>
        </w:tc>
        <w:tc>
          <w:tcPr>
            <w:tcW w:w="1029" w:type="dxa"/>
          </w:tcPr>
          <w:p w14:paraId="4C055865" w14:textId="1DA233E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4.15</w:t>
            </w:r>
          </w:p>
        </w:tc>
        <w:tc>
          <w:tcPr>
            <w:tcW w:w="1029" w:type="dxa"/>
          </w:tcPr>
          <w:p w14:paraId="041D083E" w14:textId="761B414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4.55</w:t>
            </w:r>
          </w:p>
        </w:tc>
        <w:tc>
          <w:tcPr>
            <w:tcW w:w="1029" w:type="dxa"/>
          </w:tcPr>
          <w:p w14:paraId="68D1D510" w14:textId="153BFCE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4.95</w:t>
            </w:r>
          </w:p>
        </w:tc>
        <w:tc>
          <w:tcPr>
            <w:tcW w:w="1040" w:type="dxa"/>
          </w:tcPr>
          <w:p w14:paraId="61F74470" w14:textId="305FFD8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5.62</w:t>
            </w:r>
          </w:p>
        </w:tc>
        <w:tc>
          <w:tcPr>
            <w:tcW w:w="624" w:type="dxa"/>
          </w:tcPr>
          <w:p w14:paraId="1BD86D58" w14:textId="58D679A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8.29</w:t>
            </w:r>
          </w:p>
        </w:tc>
        <w:tc>
          <w:tcPr>
            <w:tcW w:w="312" w:type="dxa"/>
          </w:tcPr>
          <w:p w14:paraId="7FD9C953" w14:textId="59D0018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7125EAA7"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06C548AF" w14:textId="0DFF07DB" w:rsidR="008C3269" w:rsidRDefault="008C3269" w:rsidP="008C3269">
            <w:pPr>
              <w:pStyle w:val="BodyText"/>
            </w:pPr>
            <w:r>
              <w:t>LED Lamp</w:t>
            </w:r>
          </w:p>
        </w:tc>
        <w:tc>
          <w:tcPr>
            <w:tcW w:w="1029" w:type="dxa"/>
          </w:tcPr>
          <w:p w14:paraId="59820756" w14:textId="484F7E9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5.57</w:t>
            </w:r>
          </w:p>
        </w:tc>
        <w:tc>
          <w:tcPr>
            <w:tcW w:w="1029" w:type="dxa"/>
          </w:tcPr>
          <w:p w14:paraId="6C605D0F" w14:textId="563B3EC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4.18</w:t>
            </w:r>
          </w:p>
        </w:tc>
        <w:tc>
          <w:tcPr>
            <w:tcW w:w="1029" w:type="dxa"/>
          </w:tcPr>
          <w:p w14:paraId="47DEFB17" w14:textId="0FD155A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5.09</w:t>
            </w:r>
          </w:p>
        </w:tc>
        <w:tc>
          <w:tcPr>
            <w:tcW w:w="1029" w:type="dxa"/>
          </w:tcPr>
          <w:p w14:paraId="505377E6" w14:textId="0AEDDFC2"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5.29</w:t>
            </w:r>
          </w:p>
        </w:tc>
        <w:tc>
          <w:tcPr>
            <w:tcW w:w="1040" w:type="dxa"/>
          </w:tcPr>
          <w:p w14:paraId="0FCAA4E6" w14:textId="6D8E7D0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5.52</w:t>
            </w:r>
          </w:p>
        </w:tc>
        <w:tc>
          <w:tcPr>
            <w:tcW w:w="624" w:type="dxa"/>
          </w:tcPr>
          <w:p w14:paraId="45C2FA62" w14:textId="370619D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6.88</w:t>
            </w:r>
          </w:p>
        </w:tc>
        <w:tc>
          <w:tcPr>
            <w:tcW w:w="312" w:type="dxa"/>
          </w:tcPr>
          <w:p w14:paraId="597C16E9" w14:textId="58E78AC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4DDA16CA"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1AF482B8" w14:textId="5E422FB8" w:rsidR="008C3269" w:rsidRDefault="008C3269" w:rsidP="008C3269">
            <w:pPr>
              <w:pStyle w:val="BodyText"/>
            </w:pPr>
            <w:r>
              <w:lastRenderedPageBreak/>
              <w:t>LED Luminaire</w:t>
            </w:r>
          </w:p>
        </w:tc>
        <w:tc>
          <w:tcPr>
            <w:tcW w:w="1029" w:type="dxa"/>
          </w:tcPr>
          <w:p w14:paraId="314792FA" w14:textId="56A89EC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1.12</w:t>
            </w:r>
          </w:p>
        </w:tc>
        <w:tc>
          <w:tcPr>
            <w:tcW w:w="1029" w:type="dxa"/>
          </w:tcPr>
          <w:p w14:paraId="21DE5B43" w14:textId="73BB785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0.99</w:t>
            </w:r>
          </w:p>
        </w:tc>
        <w:tc>
          <w:tcPr>
            <w:tcW w:w="1029" w:type="dxa"/>
          </w:tcPr>
          <w:p w14:paraId="6A5FD608" w14:textId="6038487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0.93</w:t>
            </w:r>
          </w:p>
        </w:tc>
        <w:tc>
          <w:tcPr>
            <w:tcW w:w="1029" w:type="dxa"/>
          </w:tcPr>
          <w:p w14:paraId="79A2CFB0" w14:textId="600A3D5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0.90</w:t>
            </w:r>
          </w:p>
        </w:tc>
        <w:tc>
          <w:tcPr>
            <w:tcW w:w="1040" w:type="dxa"/>
          </w:tcPr>
          <w:p w14:paraId="59A47D5C" w14:textId="0E5F9D5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1.05</w:t>
            </w:r>
          </w:p>
        </w:tc>
        <w:tc>
          <w:tcPr>
            <w:tcW w:w="624" w:type="dxa"/>
          </w:tcPr>
          <w:p w14:paraId="4BD1908E" w14:textId="001A37F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1.19</w:t>
            </w:r>
          </w:p>
        </w:tc>
        <w:tc>
          <w:tcPr>
            <w:tcW w:w="312" w:type="dxa"/>
          </w:tcPr>
          <w:p w14:paraId="5F16D45C" w14:textId="640C6D7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291E6FEA"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27056E0B" w14:textId="39F90FD3" w:rsidR="008C3269" w:rsidRDefault="008C3269" w:rsidP="008C3269">
            <w:pPr>
              <w:pStyle w:val="BodyText"/>
            </w:pPr>
            <w:r>
              <w:t>Mercury Vapor</w:t>
            </w:r>
          </w:p>
        </w:tc>
        <w:tc>
          <w:tcPr>
            <w:tcW w:w="1029" w:type="dxa"/>
          </w:tcPr>
          <w:p w14:paraId="165B5997" w14:textId="1C1D459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2.60</w:t>
            </w:r>
          </w:p>
        </w:tc>
        <w:tc>
          <w:tcPr>
            <w:tcW w:w="1029" w:type="dxa"/>
          </w:tcPr>
          <w:p w14:paraId="4988B52B" w14:textId="1C1AFBA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2.34</w:t>
            </w:r>
          </w:p>
        </w:tc>
        <w:tc>
          <w:tcPr>
            <w:tcW w:w="1029" w:type="dxa"/>
          </w:tcPr>
          <w:p w14:paraId="1C9B1F1F" w14:textId="73344DB4"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2.07</w:t>
            </w:r>
          </w:p>
        </w:tc>
        <w:tc>
          <w:tcPr>
            <w:tcW w:w="1029" w:type="dxa"/>
          </w:tcPr>
          <w:p w14:paraId="06059C57" w14:textId="0C5FC06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1.82</w:t>
            </w:r>
          </w:p>
        </w:tc>
        <w:tc>
          <w:tcPr>
            <w:tcW w:w="1040" w:type="dxa"/>
          </w:tcPr>
          <w:p w14:paraId="004AD6A6" w14:textId="0522ADD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2.05</w:t>
            </w:r>
          </w:p>
        </w:tc>
        <w:tc>
          <w:tcPr>
            <w:tcW w:w="624" w:type="dxa"/>
          </w:tcPr>
          <w:p w14:paraId="36D5CDAD" w14:textId="08E1663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2.77</w:t>
            </w:r>
          </w:p>
        </w:tc>
        <w:tc>
          <w:tcPr>
            <w:tcW w:w="312" w:type="dxa"/>
          </w:tcPr>
          <w:p w14:paraId="18385D93" w14:textId="41A3753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197C6E30"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6F95B007" w14:textId="7986DC91" w:rsidR="008C3269" w:rsidRDefault="008C3269" w:rsidP="008C3269">
            <w:pPr>
              <w:pStyle w:val="BodyText"/>
            </w:pPr>
            <w:r>
              <w:t>Metal Halide</w:t>
            </w:r>
          </w:p>
        </w:tc>
        <w:tc>
          <w:tcPr>
            <w:tcW w:w="1029" w:type="dxa"/>
          </w:tcPr>
          <w:p w14:paraId="5C8EDFD2" w14:textId="464F8BD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2.30</w:t>
            </w:r>
          </w:p>
        </w:tc>
        <w:tc>
          <w:tcPr>
            <w:tcW w:w="1029" w:type="dxa"/>
          </w:tcPr>
          <w:p w14:paraId="702D6F0D" w14:textId="32AA016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2.38</w:t>
            </w:r>
          </w:p>
        </w:tc>
        <w:tc>
          <w:tcPr>
            <w:tcW w:w="1029" w:type="dxa"/>
          </w:tcPr>
          <w:p w14:paraId="1A0A37EA" w14:textId="16043F47"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2.56</w:t>
            </w:r>
          </w:p>
        </w:tc>
        <w:tc>
          <w:tcPr>
            <w:tcW w:w="1029" w:type="dxa"/>
          </w:tcPr>
          <w:p w14:paraId="150FDEF5" w14:textId="6D4FABF7"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2.65</w:t>
            </w:r>
          </w:p>
        </w:tc>
        <w:tc>
          <w:tcPr>
            <w:tcW w:w="1040" w:type="dxa"/>
          </w:tcPr>
          <w:p w14:paraId="31F5A53A" w14:textId="1E7448F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3.23</w:t>
            </w:r>
          </w:p>
        </w:tc>
        <w:tc>
          <w:tcPr>
            <w:tcW w:w="624" w:type="dxa"/>
          </w:tcPr>
          <w:p w14:paraId="10069513" w14:textId="4A1BB010"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4.61</w:t>
            </w:r>
          </w:p>
        </w:tc>
        <w:tc>
          <w:tcPr>
            <w:tcW w:w="312" w:type="dxa"/>
          </w:tcPr>
          <w:p w14:paraId="2329B6B6" w14:textId="43402CE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601AC986"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347931D8" w14:textId="09D29917" w:rsidR="008C3269" w:rsidRDefault="008C3269" w:rsidP="008C3269">
            <w:pPr>
              <w:pStyle w:val="BodyText"/>
            </w:pPr>
            <w:r>
              <w:t>Pin CFL</w:t>
            </w:r>
          </w:p>
        </w:tc>
        <w:tc>
          <w:tcPr>
            <w:tcW w:w="1029" w:type="dxa"/>
          </w:tcPr>
          <w:p w14:paraId="2879EC5C" w14:textId="3088D89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1.56</w:t>
            </w:r>
          </w:p>
        </w:tc>
        <w:tc>
          <w:tcPr>
            <w:tcW w:w="1029" w:type="dxa"/>
          </w:tcPr>
          <w:p w14:paraId="686D446F" w14:textId="6234FB52"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1.45</w:t>
            </w:r>
          </w:p>
        </w:tc>
        <w:tc>
          <w:tcPr>
            <w:tcW w:w="1029" w:type="dxa"/>
          </w:tcPr>
          <w:p w14:paraId="42E74D4F" w14:textId="736F14B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1.47</w:t>
            </w:r>
          </w:p>
        </w:tc>
        <w:tc>
          <w:tcPr>
            <w:tcW w:w="1029" w:type="dxa"/>
          </w:tcPr>
          <w:p w14:paraId="3E8DBA9F" w14:textId="4C2C1E0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1.60</w:t>
            </w:r>
          </w:p>
        </w:tc>
        <w:tc>
          <w:tcPr>
            <w:tcW w:w="1040" w:type="dxa"/>
          </w:tcPr>
          <w:p w14:paraId="504BD810" w14:textId="6E20954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1.57</w:t>
            </w:r>
          </w:p>
        </w:tc>
        <w:tc>
          <w:tcPr>
            <w:tcW w:w="624" w:type="dxa"/>
          </w:tcPr>
          <w:p w14:paraId="5A6D5724" w14:textId="233E3AB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1.94</w:t>
            </w:r>
          </w:p>
        </w:tc>
        <w:tc>
          <w:tcPr>
            <w:tcW w:w="312" w:type="dxa"/>
          </w:tcPr>
          <w:p w14:paraId="1E181634" w14:textId="6791AB8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223F01D8"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0FECB551" w14:textId="3404D926" w:rsidR="008C3269" w:rsidRDefault="008C3269" w:rsidP="008C3269">
            <w:pPr>
              <w:pStyle w:val="BodyText"/>
            </w:pPr>
            <w:r>
              <w:t>T12</w:t>
            </w:r>
          </w:p>
        </w:tc>
        <w:tc>
          <w:tcPr>
            <w:tcW w:w="1029" w:type="dxa"/>
          </w:tcPr>
          <w:p w14:paraId="06F4A94A" w14:textId="06AC7DB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2.64</w:t>
            </w:r>
          </w:p>
        </w:tc>
        <w:tc>
          <w:tcPr>
            <w:tcW w:w="1029" w:type="dxa"/>
          </w:tcPr>
          <w:p w14:paraId="730F2C95" w14:textId="3589643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2.22</w:t>
            </w:r>
          </w:p>
        </w:tc>
        <w:tc>
          <w:tcPr>
            <w:tcW w:w="1029" w:type="dxa"/>
          </w:tcPr>
          <w:p w14:paraId="282E52E1" w14:textId="037531DA"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2.39</w:t>
            </w:r>
          </w:p>
        </w:tc>
        <w:tc>
          <w:tcPr>
            <w:tcW w:w="1029" w:type="dxa"/>
          </w:tcPr>
          <w:p w14:paraId="142E5A3B" w14:textId="2E4264B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2.45</w:t>
            </w:r>
          </w:p>
        </w:tc>
        <w:tc>
          <w:tcPr>
            <w:tcW w:w="1040" w:type="dxa"/>
          </w:tcPr>
          <w:p w14:paraId="65F448FE" w14:textId="730BCBA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2.22</w:t>
            </w:r>
          </w:p>
        </w:tc>
        <w:tc>
          <w:tcPr>
            <w:tcW w:w="624" w:type="dxa"/>
          </w:tcPr>
          <w:p w14:paraId="4BF8916D" w14:textId="255FFC31"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2.34</w:t>
            </w:r>
          </w:p>
        </w:tc>
        <w:tc>
          <w:tcPr>
            <w:tcW w:w="312" w:type="dxa"/>
          </w:tcPr>
          <w:p w14:paraId="53B4E24A" w14:textId="2FB4F3C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52E7BD01"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2D03BBFB" w14:textId="3A00182E" w:rsidR="008C3269" w:rsidRDefault="008C3269" w:rsidP="008C3269">
            <w:pPr>
              <w:pStyle w:val="BodyText"/>
            </w:pPr>
            <w:r>
              <w:t>T5HO</w:t>
            </w:r>
          </w:p>
        </w:tc>
        <w:tc>
          <w:tcPr>
            <w:tcW w:w="1029" w:type="dxa"/>
          </w:tcPr>
          <w:p w14:paraId="034F444F" w14:textId="0B177996"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0.50</w:t>
            </w:r>
          </w:p>
        </w:tc>
        <w:tc>
          <w:tcPr>
            <w:tcW w:w="1029" w:type="dxa"/>
          </w:tcPr>
          <w:p w14:paraId="12FC400D" w14:textId="53F3A678"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0.42</w:t>
            </w:r>
          </w:p>
        </w:tc>
        <w:tc>
          <w:tcPr>
            <w:tcW w:w="1029" w:type="dxa"/>
          </w:tcPr>
          <w:p w14:paraId="7231F2C9" w14:textId="0E8B16E4"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0.51</w:t>
            </w:r>
          </w:p>
        </w:tc>
        <w:tc>
          <w:tcPr>
            <w:tcW w:w="1029" w:type="dxa"/>
          </w:tcPr>
          <w:p w14:paraId="013C057B" w14:textId="76178E8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0.59</w:t>
            </w:r>
          </w:p>
        </w:tc>
        <w:tc>
          <w:tcPr>
            <w:tcW w:w="1040" w:type="dxa"/>
          </w:tcPr>
          <w:p w14:paraId="2B855A16" w14:textId="269110C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0.71</w:t>
            </w:r>
          </w:p>
        </w:tc>
        <w:tc>
          <w:tcPr>
            <w:tcW w:w="624" w:type="dxa"/>
          </w:tcPr>
          <w:p w14:paraId="217E2B26" w14:textId="6E5A989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0.85</w:t>
            </w:r>
          </w:p>
        </w:tc>
        <w:tc>
          <w:tcPr>
            <w:tcW w:w="312" w:type="dxa"/>
          </w:tcPr>
          <w:p w14:paraId="61771718" w14:textId="19EFD9AB"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2920649E"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5C225609" w14:textId="2D0E4243" w:rsidR="008C3269" w:rsidRDefault="008C3269" w:rsidP="008C3269">
            <w:pPr>
              <w:pStyle w:val="BodyText"/>
            </w:pPr>
            <w:r>
              <w:t>T5SO</w:t>
            </w:r>
          </w:p>
        </w:tc>
        <w:tc>
          <w:tcPr>
            <w:tcW w:w="1029" w:type="dxa"/>
          </w:tcPr>
          <w:p w14:paraId="2C4B8EA2" w14:textId="3F353ED2"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1.13</w:t>
            </w:r>
          </w:p>
        </w:tc>
        <w:tc>
          <w:tcPr>
            <w:tcW w:w="1029" w:type="dxa"/>
          </w:tcPr>
          <w:p w14:paraId="69AB9DE3" w14:textId="22E0DC8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0.91</w:t>
            </w:r>
          </w:p>
        </w:tc>
        <w:tc>
          <w:tcPr>
            <w:tcW w:w="1029" w:type="dxa"/>
          </w:tcPr>
          <w:p w14:paraId="77D500C7" w14:textId="4CF74A37"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0.91</w:t>
            </w:r>
          </w:p>
        </w:tc>
        <w:tc>
          <w:tcPr>
            <w:tcW w:w="1029" w:type="dxa"/>
          </w:tcPr>
          <w:p w14:paraId="418BC10A" w14:textId="7D87304E"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0.90</w:t>
            </w:r>
          </w:p>
        </w:tc>
        <w:tc>
          <w:tcPr>
            <w:tcW w:w="1040" w:type="dxa"/>
          </w:tcPr>
          <w:p w14:paraId="16978721" w14:textId="263E4C6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1.04</w:t>
            </w:r>
          </w:p>
        </w:tc>
        <w:tc>
          <w:tcPr>
            <w:tcW w:w="624" w:type="dxa"/>
          </w:tcPr>
          <w:p w14:paraId="325C7249" w14:textId="249E0E24"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1.06</w:t>
            </w:r>
          </w:p>
        </w:tc>
        <w:tc>
          <w:tcPr>
            <w:tcW w:w="312" w:type="dxa"/>
          </w:tcPr>
          <w:p w14:paraId="7F3E3931" w14:textId="004A02D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r w:rsidR="008C3269" w14:paraId="73F02640" w14:textId="77777777" w:rsidTr="008C3269">
        <w:tc>
          <w:tcPr>
            <w:cnfStyle w:val="001000000000" w:firstRow="0" w:lastRow="0" w:firstColumn="1" w:lastColumn="0" w:oddVBand="0" w:evenVBand="0" w:oddHBand="0" w:evenHBand="0" w:firstRowFirstColumn="0" w:firstRowLastColumn="0" w:lastRowFirstColumn="0" w:lastRowLastColumn="0"/>
            <w:tcW w:w="2140" w:type="dxa"/>
          </w:tcPr>
          <w:p w14:paraId="0D5A2183" w14:textId="5EC1FE02" w:rsidR="008C3269" w:rsidRDefault="008C3269" w:rsidP="008C3269">
            <w:pPr>
              <w:pStyle w:val="BodyText"/>
            </w:pPr>
            <w:r>
              <w:t>TLED</w:t>
            </w:r>
          </w:p>
        </w:tc>
        <w:tc>
          <w:tcPr>
            <w:tcW w:w="1029" w:type="dxa"/>
          </w:tcPr>
          <w:p w14:paraId="55C45716" w14:textId="25B04B7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4.00</w:t>
            </w:r>
          </w:p>
        </w:tc>
        <w:tc>
          <w:tcPr>
            <w:tcW w:w="1029" w:type="dxa"/>
          </w:tcPr>
          <w:p w14:paraId="684DBF2E" w14:textId="12A32109"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3.11</w:t>
            </w:r>
          </w:p>
        </w:tc>
        <w:tc>
          <w:tcPr>
            <w:tcW w:w="1029" w:type="dxa"/>
          </w:tcPr>
          <w:p w14:paraId="09AC3FE6" w14:textId="1FFEBA2D"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3.40</w:t>
            </w:r>
          </w:p>
        </w:tc>
        <w:tc>
          <w:tcPr>
            <w:tcW w:w="1029" w:type="dxa"/>
          </w:tcPr>
          <w:p w14:paraId="301C1B85" w14:textId="6F749F65"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3.41</w:t>
            </w:r>
          </w:p>
        </w:tc>
        <w:tc>
          <w:tcPr>
            <w:tcW w:w="1040" w:type="dxa"/>
          </w:tcPr>
          <w:p w14:paraId="642DD0F4" w14:textId="3F070E7F"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3.98</w:t>
            </w:r>
          </w:p>
        </w:tc>
        <w:tc>
          <w:tcPr>
            <w:tcW w:w="624" w:type="dxa"/>
          </w:tcPr>
          <w:p w14:paraId="53A5AB8A" w14:textId="5E9130A6"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r>
              <w:t>4.13</w:t>
            </w:r>
          </w:p>
        </w:tc>
        <w:tc>
          <w:tcPr>
            <w:tcW w:w="312" w:type="dxa"/>
          </w:tcPr>
          <w:p w14:paraId="54C718AA" w14:textId="1F99357C" w:rsidR="008C3269" w:rsidRDefault="008C3269" w:rsidP="008C3269">
            <w:pPr>
              <w:pStyle w:val="BodyText"/>
              <w:cnfStyle w:val="000000000000" w:firstRow="0" w:lastRow="0" w:firstColumn="0" w:lastColumn="0" w:oddVBand="0" w:evenVBand="0" w:oddHBand="0" w:evenHBand="0" w:firstRowFirstColumn="0" w:firstRowLastColumn="0" w:lastRowFirstColumn="0" w:lastRowLastColumn="0"/>
            </w:pPr>
          </w:p>
        </w:tc>
      </w:tr>
    </w:tbl>
    <w:p w14:paraId="6D9BAA30" w14:textId="7828F7BE" w:rsidR="0004598A" w:rsidRDefault="0004598A" w:rsidP="0004598A">
      <w:pPr>
        <w:pStyle w:val="BodyText"/>
      </w:pPr>
      <w:r>
        <w:t>The</w:t>
      </w:r>
      <w:r w:rsidR="000C02F9">
        <w:t xml:space="preserve"> research</w:t>
      </w:r>
      <w:r>
        <w:t xml:space="preserve"> team observed variation across technologies (and to a lesser extent across years) in the calculated market scaling factors. There are multiple </w:t>
      </w:r>
      <w:r w:rsidR="000C02F9">
        <w:t xml:space="preserve">potential </w:t>
      </w:r>
      <w:r>
        <w:t xml:space="preserve">drivers for these variations, </w:t>
      </w:r>
      <w:r w:rsidR="000C02F9">
        <w:t xml:space="preserve">but the </w:t>
      </w:r>
      <w:r>
        <w:t xml:space="preserve">magnitude of each driver is </w:t>
      </w:r>
      <w:r w:rsidR="000C02F9">
        <w:t>unknown</w:t>
      </w:r>
      <w:r>
        <w:t>. The</w:t>
      </w:r>
      <w:r w:rsidR="000C02F9">
        <w:t xml:space="preserve"> research</w:t>
      </w:r>
      <w:r>
        <w:t xml:space="preserve"> team speculates that the two largest drivers of variation in scaling factors are: </w:t>
      </w:r>
    </w:p>
    <w:p w14:paraId="07DCD273" w14:textId="77818B92" w:rsidR="0004598A" w:rsidRDefault="0004598A" w:rsidP="0004598A">
      <w:pPr>
        <w:pStyle w:val="ListBullet"/>
      </w:pPr>
      <w:r w:rsidRPr="000C02F9">
        <w:rPr>
          <w:b/>
          <w:bCs/>
        </w:rPr>
        <w:t>Variation in the observed sales data’s representativeness by technology category.</w:t>
      </w:r>
      <w:r>
        <w:t xml:space="preserve"> The largest example of this is in 32W T8 lamps. For this category, the market scaling factor is quite high (approximately </w:t>
      </w:r>
      <w:r w:rsidR="00A85E8A">
        <w:t>five</w:t>
      </w:r>
      <w:r>
        <w:t xml:space="preserve">, meaning the modeled sales were </w:t>
      </w:r>
      <w:r w:rsidR="008C3269">
        <w:t>five</w:t>
      </w:r>
      <w:r>
        <w:t xml:space="preserve"> times higher than the observed sales). The</w:t>
      </w:r>
      <w:r w:rsidR="000C02F9">
        <w:t xml:space="preserve"> research</w:t>
      </w:r>
      <w:r>
        <w:t xml:space="preserve"> team speculates that the sales data NEEA and BPA collect</w:t>
      </w:r>
      <w:r w:rsidR="000C02F9">
        <w:t>s</w:t>
      </w:r>
      <w:r>
        <w:t xml:space="preserve"> understate</w:t>
      </w:r>
      <w:r w:rsidR="000C02F9">
        <w:t>s</w:t>
      </w:r>
      <w:r>
        <w:t xml:space="preserve"> the prevalence of T8s in the sales mix because of meaningful sales of those products through channels other than distributor channel (</w:t>
      </w:r>
      <w:r w:rsidR="000C02F9">
        <w:t xml:space="preserve">e.g., </w:t>
      </w:r>
      <w:r>
        <w:t>online and retail sales</w:t>
      </w:r>
      <w:r w:rsidR="000C02F9">
        <w:t>).</w:t>
      </w:r>
    </w:p>
    <w:p w14:paraId="3D82458B" w14:textId="1875B6AD" w:rsidR="0004598A" w:rsidRDefault="0004598A" w:rsidP="0004598A">
      <w:pPr>
        <w:pStyle w:val="ListBullet"/>
      </w:pPr>
      <w:r w:rsidRPr="000C02F9">
        <w:rPr>
          <w:b/>
          <w:bCs/>
        </w:rPr>
        <w:t xml:space="preserve">Possible </w:t>
      </w:r>
      <w:r w:rsidR="008C3269">
        <w:rPr>
          <w:b/>
          <w:bCs/>
        </w:rPr>
        <w:t>misclassification</w:t>
      </w:r>
      <w:r w:rsidRPr="000C02F9">
        <w:rPr>
          <w:b/>
          <w:bCs/>
        </w:rPr>
        <w:t xml:space="preserve"> of some lamps in the CBSA.</w:t>
      </w:r>
      <w:r>
        <w:t xml:space="preserve"> The</w:t>
      </w:r>
      <w:r w:rsidR="008C3269">
        <w:t xml:space="preserve"> research</w:t>
      </w:r>
      <w:r>
        <w:t xml:space="preserve"> team observed market scaling factors of less than 1.0 for the T5 technologies. This indicates that the modeled sales are lower than the observed sales, which is not an expected result. The driver of this result is the model’s calibration to the CBSA. While we cannot be certain, the </w:t>
      </w:r>
      <w:r w:rsidR="008C3269">
        <w:t xml:space="preserve">research </w:t>
      </w:r>
      <w:r>
        <w:t xml:space="preserve">team speculates that some T5s (a relatively </w:t>
      </w:r>
      <w:r w:rsidR="00411F02">
        <w:t xml:space="preserve">uncommon </w:t>
      </w:r>
      <w:r>
        <w:t xml:space="preserve">technology category in the stock mix) were miscategorized as T8s in the CBSA, which would result in both the CBSA and the model understating the prevalence of this technology in the stock. </w:t>
      </w:r>
    </w:p>
    <w:p w14:paraId="0F28897C" w14:textId="14855880" w:rsidR="000C02F9" w:rsidRPr="0004598A" w:rsidRDefault="000C02F9" w:rsidP="0004598A">
      <w:pPr>
        <w:pStyle w:val="BodyText"/>
      </w:pPr>
      <w:r>
        <w:t xml:space="preserve">As BPA continues to update the model with new data, the research team will consider whether to recalculate market scaling factors for future years. </w:t>
      </w:r>
      <w:r w:rsidR="00411F02">
        <w:t xml:space="preserve">Presently, the market scaling factors can be interpreted </w:t>
      </w:r>
      <w:r w:rsidR="00116C59">
        <w:t xml:space="preserve">in concert with other supporting information </w:t>
      </w:r>
      <w:r w:rsidR="00411F02">
        <w:t>as an approximate indication of which technologies are underrepresented in the sales data collected from distributors. For example, the technologies with high scaling factors (</w:t>
      </w:r>
      <w:r w:rsidR="00116C59">
        <w:t xml:space="preserve">CFL, halogen, and </w:t>
      </w:r>
      <w:r w:rsidR="00411F02">
        <w:t>incandescent</w:t>
      </w:r>
      <w:r w:rsidR="00116C59">
        <w:t xml:space="preserve">) are also technologies that would be likely to appear in retail channel sales, corroborating the </w:t>
      </w:r>
      <w:r w:rsidR="008C3269">
        <w:t xml:space="preserve">research </w:t>
      </w:r>
      <w:r w:rsidR="00116C59">
        <w:t xml:space="preserve">team’s indication that retail channel sales are not reflected in this analysis. However, due to the </w:t>
      </w:r>
      <w:r w:rsidR="00116C59">
        <w:lastRenderedPageBreak/>
        <w:t>uncertainties described here, the</w:t>
      </w:r>
      <w:r w:rsidR="008C3269">
        <w:t xml:space="preserve"> research</w:t>
      </w:r>
      <w:r w:rsidR="00116C59">
        <w:t xml:space="preserve"> team cautions against </w:t>
      </w:r>
      <w:r w:rsidR="008C3269">
        <w:t xml:space="preserve">using </w:t>
      </w:r>
      <w:r w:rsidR="00116C59">
        <w:t>these market scaling factors alone to draw conclusions about the market.</w:t>
      </w:r>
    </w:p>
    <w:sectPr w:rsidR="000C02F9" w:rsidRPr="0004598A" w:rsidSect="00563E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8214" w14:textId="77777777" w:rsidR="00D278E7" w:rsidRDefault="00D278E7" w:rsidP="009C27D5">
      <w:r>
        <w:separator/>
      </w:r>
    </w:p>
    <w:p w14:paraId="37870D56" w14:textId="77777777" w:rsidR="00D278E7" w:rsidRDefault="00D278E7"/>
  </w:endnote>
  <w:endnote w:type="continuationSeparator" w:id="0">
    <w:p w14:paraId="44F4A27E" w14:textId="77777777" w:rsidR="00D278E7" w:rsidRDefault="00D278E7" w:rsidP="009C27D5">
      <w:r>
        <w:continuationSeparator/>
      </w:r>
    </w:p>
    <w:p w14:paraId="780A9383" w14:textId="77777777" w:rsidR="00D278E7" w:rsidRDefault="00D278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4DACA" w14:textId="3B52DD45" w:rsidR="00072947" w:rsidRDefault="00072947" w:rsidP="004E0672">
    <w:pPr>
      <w:pStyle w:val="Footer"/>
    </w:pPr>
    <w:r w:rsidRPr="00DF0086">
      <w:rPr>
        <w:b/>
        <w:bCs/>
        <w:noProof/>
      </w:rPr>
      <w:drawing>
        <wp:anchor distT="0" distB="0" distL="114300" distR="114300" simplePos="0" relativeHeight="251658240" behindDoc="1" locked="0" layoutInCell="1" allowOverlap="1" wp14:anchorId="6652D38F" wp14:editId="128B0F4F">
          <wp:simplePos x="0" y="0"/>
          <wp:positionH relativeFrom="margin">
            <wp:posOffset>5836285</wp:posOffset>
          </wp:positionH>
          <wp:positionV relativeFrom="paragraph">
            <wp:posOffset>-153356</wp:posOffset>
          </wp:positionV>
          <wp:extent cx="772708" cy="4572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33227"/>
                  <a:stretch/>
                </pic:blipFill>
                <pic:spPr bwMode="auto">
                  <a:xfrm>
                    <a:off x="0" y="0"/>
                    <a:ext cx="772708"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086">
      <w:rPr>
        <w:b/>
        <w:bCs/>
      </w:rPr>
      <w:t xml:space="preserve">Page </w:t>
    </w:r>
    <w:r w:rsidRPr="00DF0086">
      <w:rPr>
        <w:b/>
        <w:bCs/>
      </w:rPr>
      <w:fldChar w:fldCharType="begin"/>
    </w:r>
    <w:r w:rsidRPr="00DF0086">
      <w:rPr>
        <w:b/>
        <w:bCs/>
      </w:rPr>
      <w:instrText xml:space="preserve"> PAGE   \* MERGEFORMAT </w:instrText>
    </w:r>
    <w:r w:rsidRPr="00DF0086">
      <w:rPr>
        <w:b/>
        <w:bCs/>
      </w:rPr>
      <w:fldChar w:fldCharType="separate"/>
    </w:r>
    <w:r w:rsidR="00065653">
      <w:rPr>
        <w:b/>
        <w:bCs/>
        <w:noProof/>
      </w:rPr>
      <w:t>1</w:t>
    </w:r>
    <w:r w:rsidRPr="00DF0086">
      <w:rPr>
        <w:b/>
        <w:bCs/>
        <w:noProof/>
      </w:rPr>
      <w:fldChar w:fldCharType="end"/>
    </w:r>
    <w:r w:rsidRPr="007C76DC">
      <w:rPr>
        <w:noProof/>
      </w:rPr>
      <w:t xml:space="preserve"> </w:t>
    </w:r>
    <w:r w:rsidRPr="007C76DC">
      <w:rPr>
        <w:noProof/>
        <w:color w:val="1CBECA" w:themeColor="accent4"/>
      </w:rPr>
      <w:t xml:space="preserve"> | </w:t>
    </w:r>
    <w:r w:rsidRPr="007C76DC">
      <w:rPr>
        <w:color w:val="1CBECA" w:themeColor="accent4"/>
      </w:rPr>
      <w:t xml:space="preserve"> </w:t>
    </w:r>
    <w:fldSimple w:instr=" STYLEREF  Title  \* MERGEFORMAT ">
      <w:r w:rsidR="00FD60CB">
        <w:rPr>
          <w:noProof/>
        </w:rPr>
        <w:t>Non-residential Lighting Distributor Sales Data Gaps</w:t>
      </w:r>
    </w:fldSimple>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B2946" w14:textId="70B43216" w:rsidR="00072947" w:rsidRDefault="00072947" w:rsidP="004E0672">
    <w:pPr>
      <w:pStyle w:val="Footer"/>
    </w:pPr>
    <w:r w:rsidRPr="00DF0086">
      <w:rPr>
        <w:b/>
        <w:bCs/>
        <w:noProof/>
      </w:rPr>
      <w:drawing>
        <wp:anchor distT="0" distB="0" distL="114300" distR="114300" simplePos="0" relativeHeight="251660288" behindDoc="1" locked="0" layoutInCell="1" allowOverlap="1" wp14:anchorId="7BD714ED" wp14:editId="054AB007">
          <wp:simplePos x="0" y="0"/>
          <wp:positionH relativeFrom="margin">
            <wp:posOffset>5836285</wp:posOffset>
          </wp:positionH>
          <wp:positionV relativeFrom="paragraph">
            <wp:posOffset>-153356</wp:posOffset>
          </wp:positionV>
          <wp:extent cx="772708" cy="457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33227"/>
                  <a:stretch/>
                </pic:blipFill>
                <pic:spPr bwMode="auto">
                  <a:xfrm>
                    <a:off x="0" y="0"/>
                    <a:ext cx="772708"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086">
      <w:rPr>
        <w:b/>
        <w:bCs/>
      </w:rPr>
      <w:t xml:space="preserve">Page </w:t>
    </w:r>
    <w:r w:rsidRPr="00DF0086">
      <w:rPr>
        <w:b/>
        <w:bCs/>
      </w:rPr>
      <w:fldChar w:fldCharType="begin"/>
    </w:r>
    <w:r w:rsidRPr="00DF0086">
      <w:rPr>
        <w:b/>
        <w:bCs/>
      </w:rPr>
      <w:instrText xml:space="preserve"> PAGE   \* MERGEFORMAT </w:instrText>
    </w:r>
    <w:r w:rsidRPr="00DF0086">
      <w:rPr>
        <w:b/>
        <w:bCs/>
      </w:rPr>
      <w:fldChar w:fldCharType="separate"/>
    </w:r>
    <w:r w:rsidR="00367F7F">
      <w:rPr>
        <w:b/>
        <w:bCs/>
        <w:noProof/>
      </w:rPr>
      <w:t>19</w:t>
    </w:r>
    <w:r w:rsidRPr="00DF0086">
      <w:rPr>
        <w:b/>
        <w:bCs/>
        <w:noProof/>
      </w:rPr>
      <w:fldChar w:fldCharType="end"/>
    </w:r>
    <w:r w:rsidRPr="007C76DC">
      <w:rPr>
        <w:noProof/>
      </w:rPr>
      <w:t xml:space="preserve"> </w:t>
    </w:r>
    <w:r w:rsidRPr="007C76DC">
      <w:rPr>
        <w:noProof/>
        <w:color w:val="1CBECA" w:themeColor="accent4"/>
      </w:rPr>
      <w:t xml:space="preserve"> | </w:t>
    </w:r>
    <w:r w:rsidRPr="007C76DC">
      <w:rPr>
        <w:color w:val="1CBECA" w:themeColor="accent4"/>
      </w:rPr>
      <w:t xml:space="preserve"> </w:t>
    </w:r>
    <w:fldSimple w:instr=" STYLEREF  Title  \* MERGEFORMAT ">
      <w:r w:rsidR="00FD60CB">
        <w:rPr>
          <w:noProof/>
        </w:rPr>
        <w:t>Non-residential Lighting Distributor Sales Data Gaps</w:t>
      </w:r>
    </w:fldSimple>
    <w:r>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CB097" w14:textId="77777777" w:rsidR="00D278E7" w:rsidRDefault="00D278E7" w:rsidP="009C27D5">
      <w:r>
        <w:separator/>
      </w:r>
    </w:p>
    <w:p w14:paraId="142F40BD" w14:textId="77777777" w:rsidR="00D278E7" w:rsidRDefault="00D278E7"/>
  </w:footnote>
  <w:footnote w:type="continuationSeparator" w:id="0">
    <w:p w14:paraId="0B9B19DD" w14:textId="77777777" w:rsidR="00D278E7" w:rsidRDefault="00D278E7" w:rsidP="009C27D5">
      <w:r>
        <w:continuationSeparator/>
      </w:r>
    </w:p>
    <w:p w14:paraId="583BEF9A" w14:textId="77777777" w:rsidR="00D278E7" w:rsidRDefault="00D278E7"/>
  </w:footnote>
  <w:footnote w:id="1">
    <w:p w14:paraId="75BD08D6" w14:textId="7A1C4226" w:rsidR="00072947" w:rsidRDefault="00072947">
      <w:pPr>
        <w:pStyle w:val="FootnoteText"/>
      </w:pPr>
      <w:r>
        <w:rPr>
          <w:rStyle w:val="FootnoteReference"/>
        </w:rPr>
        <w:footnoteRef/>
      </w:r>
      <w:r>
        <w:t xml:space="preserve"> See </w:t>
      </w:r>
      <w:r>
        <w:fldChar w:fldCharType="begin"/>
      </w:r>
      <w:r>
        <w:instrText xml:space="preserve"> REF _Ref137208559 \h </w:instrText>
      </w:r>
      <w:r>
        <w:fldChar w:fldCharType="separate"/>
      </w:r>
      <w:r>
        <w:t>Extrapolation Methodology and Findings</w:t>
      </w:r>
      <w:r>
        <w:fldChar w:fldCharType="end"/>
      </w:r>
      <w:r>
        <w:t xml:space="preserve"> for more details on the extrapolation methodology.</w:t>
      </w:r>
    </w:p>
  </w:footnote>
  <w:footnote w:id="2">
    <w:p w14:paraId="33B23EC4" w14:textId="77777777" w:rsidR="00072947" w:rsidRDefault="00072947" w:rsidP="00136368">
      <w:pPr>
        <w:pStyle w:val="FootnoteText"/>
      </w:pPr>
      <w:r w:rsidRPr="002D132D">
        <w:rPr>
          <w:rStyle w:val="FootnoteReference"/>
        </w:rPr>
        <w:footnoteRef/>
      </w:r>
      <w:r w:rsidRPr="002D132D">
        <w:t xml:space="preserve"> </w:t>
      </w:r>
      <w:r w:rsidRPr="00481F87">
        <w:t xml:space="preserve">The </w:t>
      </w:r>
      <w:r>
        <w:t xml:space="preserve">research team developed the </w:t>
      </w:r>
      <w:r w:rsidRPr="00481F87">
        <w:t xml:space="preserve">distributor population from an analysis of distributor interviews and online research compiled into a distributor database in 2016. This population assessment has not been updated comprehensively since then, but the research team does update participating distributor firmographic information </w:t>
      </w:r>
      <w:r>
        <w:t>each</w:t>
      </w:r>
      <w:r w:rsidRPr="00481F87">
        <w:t xml:space="preserve"> year. Further investment in comprehensively updating the distributor population would be necessary before making any adjustments to improve representativeness.</w:t>
      </w:r>
    </w:p>
  </w:footnote>
  <w:footnote w:id="3">
    <w:p w14:paraId="186AFCB6" w14:textId="05E8A0B0" w:rsidR="00072947" w:rsidRDefault="00072947" w:rsidP="00136368">
      <w:pPr>
        <w:pStyle w:val="FootnoteText"/>
      </w:pPr>
      <w:r>
        <w:rPr>
          <w:rStyle w:val="FootnoteReference"/>
        </w:rPr>
        <w:footnoteRef/>
      </w:r>
      <w:r>
        <w:t xml:space="preserve"> </w:t>
      </w:r>
      <w:bookmarkStart w:id="6" w:name="_Hlk137108187"/>
      <w:r>
        <w:t xml:space="preserve">The research </w:t>
      </w:r>
      <w:r w:rsidRPr="002F3CFF">
        <w:t>team calculated the average of the standard deviation of the portion of each lighting technology type within each distributor type. The average s</w:t>
      </w:r>
      <w:r w:rsidRPr="002F3CFF">
        <w:rPr>
          <w:color w:val="242424"/>
          <w:shd w:val="clear" w:color="auto" w:fill="FFFFFF"/>
        </w:rPr>
        <w:t xml:space="preserve">tandard deviation </w:t>
      </w:r>
      <w:r w:rsidRPr="002F3CFF">
        <w:t>by business model type for participating full line, lighting consulting, and MRO and online distributors was 10%, 13%, and 10%, respectively.</w:t>
      </w:r>
      <w:bookmarkEnd w:id="6"/>
    </w:p>
  </w:footnote>
  <w:footnote w:id="4">
    <w:p w14:paraId="14BFAB78" w14:textId="1C6F077E" w:rsidR="00072947" w:rsidRDefault="00072947" w:rsidP="00BE3BFD">
      <w:pPr>
        <w:pStyle w:val="FootnoteText"/>
      </w:pPr>
      <w:r w:rsidRPr="00874C9C">
        <w:rPr>
          <w:rStyle w:val="FootnoteReference"/>
        </w:rPr>
        <w:footnoteRef/>
      </w:r>
      <w:r>
        <w:t xml:space="preserve"> </w:t>
      </w:r>
      <w:r w:rsidRPr="00F8554B">
        <w:t xml:space="preserve">Over the course of the study, not all participating distributors have provided percentages indicating what portion of their sales go to residential versus non-residential customers. Because the target market for wholesale distributors is the commercial market, the </w:t>
      </w:r>
      <w:r>
        <w:t xml:space="preserve">research </w:t>
      </w:r>
      <w:r w:rsidRPr="00F8554B">
        <w:t>team has assumed 100% of reported sales go to non-residential customers in instances where no other percentages were reported. This assumption is consistent with prior years’ analysis and with the research team’s qualitative understanding of those distributors’ sales.</w:t>
      </w:r>
    </w:p>
  </w:footnote>
  <w:footnote w:id="5">
    <w:p w14:paraId="2FC1483A" w14:textId="6BFD461B" w:rsidR="00072947" w:rsidRDefault="00072947" w:rsidP="00BE3BFD">
      <w:pPr>
        <w:pStyle w:val="FootnoteText"/>
      </w:pPr>
      <w:r w:rsidRPr="00796077">
        <w:rPr>
          <w:rStyle w:val="FootnoteReference"/>
        </w:rPr>
        <w:footnoteRef/>
      </w:r>
      <w:r>
        <w:t xml:space="preserve"> </w:t>
      </w:r>
      <w:r w:rsidRPr="00796077">
        <w:t>New distributors are not back cast to years prior to the first year included in their submissions.</w:t>
      </w:r>
    </w:p>
  </w:footnote>
  <w:footnote w:id="6">
    <w:p w14:paraId="3FA68B7A" w14:textId="0B8811E6" w:rsidR="00072947" w:rsidRPr="00083CA7" w:rsidRDefault="00072947" w:rsidP="00BE3BFD">
      <w:pPr>
        <w:pStyle w:val="FootnoteText"/>
      </w:pPr>
      <w:r>
        <w:rPr>
          <w:rStyle w:val="FootnoteReference"/>
        </w:rPr>
        <w:footnoteRef/>
      </w:r>
      <w:r>
        <w:t xml:space="preserve"> </w:t>
      </w:r>
      <w:r w:rsidRPr="00083CA7">
        <w:t>Subcategories for each technology and general category are in</w:t>
      </w:r>
      <w:r>
        <w:t xml:space="preserve"> </w:t>
      </w:r>
      <w:r>
        <w:fldChar w:fldCharType="begin"/>
      </w:r>
      <w:r>
        <w:instrText xml:space="preserve"> REF _Ref133834436 \h </w:instrText>
      </w:r>
      <w:r>
        <w:fldChar w:fldCharType="separate"/>
      </w:r>
      <w:r>
        <w:t xml:space="preserve">Appendix B: </w:t>
      </w:r>
      <w:r w:rsidRPr="00843C34">
        <w:t>Summary of Unique Database Category Entries</w:t>
      </w:r>
      <w:r>
        <w:fldChar w:fldCharType="end"/>
      </w:r>
    </w:p>
  </w:footnote>
  <w:footnote w:id="7">
    <w:p w14:paraId="611E24FE" w14:textId="0525B6A0" w:rsidR="00072947" w:rsidRDefault="00072947" w:rsidP="00BE3BFD">
      <w:pPr>
        <w:pStyle w:val="FootnoteText"/>
      </w:pPr>
      <w:r>
        <w:rPr>
          <w:rStyle w:val="FootnoteReference"/>
        </w:rPr>
        <w:footnoteRef/>
      </w:r>
      <w:r>
        <w:t xml:space="preserve"> </w:t>
      </w:r>
      <w:r w:rsidRPr="001E234D">
        <w:t xml:space="preserve">The extrapolation is based on the prior year of data for each non-participating distributor. In the 2021 study, the </w:t>
      </w:r>
      <w:r>
        <w:t xml:space="preserve">research </w:t>
      </w:r>
      <w:r w:rsidRPr="001E234D">
        <w:t xml:space="preserve">team explored using a three-year average to extrapolate market share. Due to year-over-year changes in distributor participation, combined with regular market share changes, the three-year average produced less accurate extrapolated sales, when compared with distributor’s actual sales, than the prior year when evaluated using participants that participated in consecutive years. For more information on this work, consult the </w:t>
      </w:r>
      <w:r w:rsidRPr="00C47F1E">
        <w:t>Non-Residential Lighting Distributor Sales Data Gaps</w:t>
      </w:r>
      <w:r>
        <w:t xml:space="preserve"> memo from 2021.</w:t>
      </w:r>
    </w:p>
  </w:footnote>
  <w:footnote w:id="8">
    <w:p w14:paraId="466C1B96" w14:textId="77777777" w:rsidR="00072947" w:rsidRDefault="00072947" w:rsidP="008E5704">
      <w:pPr>
        <w:pStyle w:val="FootnoteText"/>
      </w:pPr>
      <w:r>
        <w:rPr>
          <w:rStyle w:val="FootnoteReference"/>
        </w:rPr>
        <w:footnoteRef/>
      </w:r>
      <w:r>
        <w:t xml:space="preserve"> </w:t>
      </w:r>
      <w:r w:rsidRPr="00F049FE">
        <w:t xml:space="preserve">For more information on this uncertainty analysis, </w:t>
      </w:r>
      <w:r>
        <w:t>consult the Uncertainty Analysis Memo.</w:t>
      </w:r>
    </w:p>
  </w:footnote>
  <w:footnote w:id="9">
    <w:p w14:paraId="2B3CEE13" w14:textId="7A64CA47" w:rsidR="00072947" w:rsidRPr="00FF72B5" w:rsidRDefault="00072947" w:rsidP="00BE3BFD">
      <w:pPr>
        <w:pStyle w:val="FootnoteText"/>
      </w:pPr>
      <w:r w:rsidRPr="007E58E4">
        <w:rPr>
          <w:rStyle w:val="FootnoteReference"/>
        </w:rPr>
        <w:footnoteRef/>
      </w:r>
      <w:r>
        <w:t xml:space="preserve"> </w:t>
      </w:r>
      <w:r w:rsidRPr="00FF72B5">
        <w:t xml:space="preserve">See </w:t>
      </w:r>
      <w:r>
        <w:fldChar w:fldCharType="begin"/>
      </w:r>
      <w:r>
        <w:instrText xml:space="preserve"> REF _Ref133834441 \h </w:instrText>
      </w:r>
      <w:r>
        <w:fldChar w:fldCharType="separate"/>
      </w:r>
      <w:r>
        <w:t>Appendix 3: Detailed Data Cleaning Approach</w:t>
      </w:r>
      <w:r>
        <w:fldChar w:fldCharType="end"/>
      </w:r>
      <w:r>
        <w:t xml:space="preserve"> </w:t>
      </w:r>
      <w:r w:rsidRPr="00FF72B5">
        <w:t xml:space="preserve">for more details on how the </w:t>
      </w:r>
      <w:r>
        <w:t xml:space="preserve">research </w:t>
      </w:r>
      <w:r w:rsidRPr="00FF72B5">
        <w:t>team included RWLR sales data in this study.</w:t>
      </w:r>
    </w:p>
  </w:footnote>
  <w:footnote w:id="10">
    <w:p w14:paraId="5B86194E" w14:textId="432075A9" w:rsidR="00072947" w:rsidRDefault="00072947" w:rsidP="00BE3BFD">
      <w:pPr>
        <w:pStyle w:val="FootnoteText"/>
      </w:pPr>
      <w:r w:rsidRPr="007E58E4">
        <w:rPr>
          <w:vertAlign w:val="superscript"/>
        </w:rPr>
        <w:footnoteRef/>
      </w:r>
      <w:r w:rsidRPr="00FF72B5">
        <w:t xml:space="preserve"> See </w:t>
      </w:r>
      <w:r>
        <w:fldChar w:fldCharType="begin"/>
      </w:r>
      <w:r>
        <w:instrText xml:space="preserve"> REF _Ref133834441 \h </w:instrText>
      </w:r>
      <w:r>
        <w:fldChar w:fldCharType="separate"/>
      </w:r>
      <w:r>
        <w:t>Appendix 3: Detailed Data Cleaning Approach</w:t>
      </w:r>
      <w:r>
        <w:fldChar w:fldCharType="end"/>
      </w:r>
      <w:r>
        <w:t xml:space="preserve"> </w:t>
      </w:r>
      <w:r w:rsidRPr="00FF72B5">
        <w:t xml:space="preserve">for more details on how the </w:t>
      </w:r>
      <w:r>
        <w:t xml:space="preserve">research </w:t>
      </w:r>
      <w:r w:rsidRPr="00FF72B5">
        <w:t>team adjusted reported sales data for linear products to account for RWLR sales data from non-study participants.</w:t>
      </w:r>
    </w:p>
  </w:footnote>
  <w:footnote w:id="11">
    <w:p w14:paraId="799AD704" w14:textId="6C54225D" w:rsidR="00072947" w:rsidRDefault="00072947" w:rsidP="00843C34">
      <w:pPr>
        <w:pStyle w:val="FootnoteText"/>
      </w:pPr>
      <w:r>
        <w:rPr>
          <w:rStyle w:val="FootnoteReference"/>
        </w:rPr>
        <w:footnoteRef/>
      </w:r>
      <w:r>
        <w:t xml:space="preserve"> </w:t>
      </w:r>
      <w:r w:rsidRPr="00A52B81">
        <w:t>The distributor data collection tool does not include nonstandard linear products</w:t>
      </w:r>
      <w:r>
        <w:t xml:space="preserve"> (e.g., 1-foot 32W T8s)</w:t>
      </w:r>
      <w:r w:rsidRPr="00A52B81">
        <w:t xml:space="preserve"> because </w:t>
      </w:r>
      <w:r>
        <w:t>the research team assumed</w:t>
      </w:r>
      <w:r w:rsidRPr="00A52B81">
        <w:t xml:space="preserve"> these products </w:t>
      </w:r>
      <w:r>
        <w:t>were</w:t>
      </w:r>
      <w:r w:rsidRPr="00A52B81">
        <w:t xml:space="preserve"> sold at low volumes.</w:t>
      </w:r>
      <w:r>
        <w:t xml:space="preserve"> The research team verified this assumption when the data collection tool was built through review by subject matter experts. In 2021, the research team</w:t>
      </w:r>
      <w:r w:rsidRPr="00A52B81">
        <w:t xml:space="preserve"> tested this assumption by asking distributors with high sales of other linear fluorescent products </w:t>
      </w:r>
      <w:r>
        <w:t>if non-standard linear products are still a low sales volume category</w:t>
      </w:r>
      <w:r w:rsidRPr="00A52B81">
        <w:t xml:space="preserve">. The three distributors </w:t>
      </w:r>
      <w:r>
        <w:t>consulted</w:t>
      </w:r>
      <w:r w:rsidRPr="00A52B81">
        <w:t xml:space="preserve"> confirmed low volume of non-standard linear fluorescent products </w:t>
      </w:r>
      <w:r>
        <w:t>sales.</w:t>
      </w:r>
    </w:p>
  </w:footnote>
  <w:footnote w:id="12">
    <w:p w14:paraId="35EFE3FD" w14:textId="77777777" w:rsidR="00072947" w:rsidRPr="000F7757" w:rsidRDefault="00072947" w:rsidP="00843C34">
      <w:pPr>
        <w:pStyle w:val="FootnoteText"/>
      </w:pPr>
      <w:r w:rsidRPr="000F7757">
        <w:rPr>
          <w:rStyle w:val="FootnoteReference"/>
        </w:rPr>
        <w:footnoteRef/>
      </w:r>
      <w:r w:rsidRPr="000F7757">
        <w:t xml:space="preserve"> The research team accepted data from all of Montana</w:t>
      </w:r>
      <w:r>
        <w:t>; however, t</w:t>
      </w:r>
      <w:r w:rsidRPr="000F7757">
        <w:t xml:space="preserve">he </w:t>
      </w:r>
      <w:r>
        <w:t xml:space="preserve">Pacific </w:t>
      </w:r>
      <w:r w:rsidRPr="000F7757">
        <w:t xml:space="preserve">Northwest region only includes </w:t>
      </w:r>
      <w:r>
        <w:t>W</w:t>
      </w:r>
      <w:r w:rsidRPr="000F7757">
        <w:t>estern Montana</w:t>
      </w:r>
      <w:r>
        <w:t>. Thus, u</w:t>
      </w:r>
      <w:r w:rsidRPr="000F7757">
        <w:t xml:space="preserve">sing data from the entire state for regional analysis assumes that the sales mixes of the eastern and western portions of the data are similar. </w:t>
      </w:r>
    </w:p>
  </w:footnote>
  <w:footnote w:id="13">
    <w:p w14:paraId="410C2666" w14:textId="77777777" w:rsidR="00072947" w:rsidRDefault="00072947" w:rsidP="00843C34">
      <w:pPr>
        <w:pStyle w:val="FootnoteText"/>
      </w:pPr>
      <w:r>
        <w:rPr>
          <w:rStyle w:val="FootnoteReference"/>
        </w:rPr>
        <w:footnoteRef/>
      </w:r>
      <w:r>
        <w:t xml:space="preserve"> </w:t>
      </w:r>
      <w:r w:rsidRPr="003772BD">
        <w:t xml:space="preserve">Contact </w:t>
      </w:r>
      <w:r>
        <w:t>Juan Carlos Blacker</w:t>
      </w:r>
      <w:r w:rsidRPr="003772BD">
        <w:t xml:space="preserve"> (</w:t>
      </w:r>
      <w:hyperlink r:id="rId1" w:history="1">
        <w:r w:rsidRPr="00AA4700">
          <w:rPr>
            <w:rStyle w:val="Hyperlink"/>
          </w:rPr>
          <w:t>jcblacker@bpa.org</w:t>
        </w:r>
      </w:hyperlink>
      <w:r w:rsidRPr="003772BD">
        <w:t>) for more information on the Market Results Spreadsheet.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B450" w14:textId="77777777" w:rsidR="00072947" w:rsidRPr="009C27D5" w:rsidRDefault="00072947" w:rsidP="009C27D5">
    <w:pPr>
      <w:pStyle w:val="Header"/>
      <w:jc w:val="center"/>
      <w:rPr>
        <w:color w:val="B7BFC9" w:themeColor="text2" w:themeTint="66"/>
        <w:spacing w:val="180"/>
        <w:sz w:val="18"/>
        <w:szCs w:val="18"/>
      </w:rPr>
    </w:pPr>
    <w:r w:rsidRPr="009C27D5">
      <w:rPr>
        <w:color w:val="B7BFC9" w:themeColor="text2" w:themeTint="66"/>
        <w:spacing w:val="180"/>
        <w:sz w:val="18"/>
        <w:szCs w:val="18"/>
      </w:rPr>
      <w:t>BONNEVILLE POWER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96AE" w14:textId="77777777" w:rsidR="00072947" w:rsidRPr="009C27D5" w:rsidRDefault="00072947" w:rsidP="009C27D5">
    <w:pPr>
      <w:pStyle w:val="Header"/>
      <w:jc w:val="center"/>
      <w:rPr>
        <w:color w:val="B7BFC9" w:themeColor="text2" w:themeTint="66"/>
        <w:spacing w:val="180"/>
        <w:sz w:val="18"/>
        <w:szCs w:val="18"/>
      </w:rPr>
    </w:pPr>
    <w:r w:rsidRPr="009C27D5">
      <w:rPr>
        <w:color w:val="B7BFC9" w:themeColor="text2" w:themeTint="66"/>
        <w:spacing w:val="180"/>
        <w:sz w:val="18"/>
        <w:szCs w:val="18"/>
      </w:rPr>
      <w:t>BONNEVILLE POWER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B5285C90"/>
    <w:lvl w:ilvl="0">
      <w:start w:val="1"/>
      <w:numFmt w:val="lowerLetter"/>
      <w:pStyle w:val="ListNumber2"/>
      <w:lvlText w:val="%1."/>
      <w:lvlJc w:val="left"/>
      <w:pPr>
        <w:ind w:left="720" w:hanging="360"/>
      </w:pPr>
      <w:rPr>
        <w:rFonts w:ascii="Arial" w:hAnsi="Arial" w:hint="default"/>
        <w:b/>
        <w:i w:val="0"/>
        <w:color w:val="F44E39" w:themeColor="accent2"/>
      </w:rPr>
    </w:lvl>
  </w:abstractNum>
  <w:abstractNum w:abstractNumId="1" w15:restartNumberingAfterBreak="0">
    <w:nsid w:val="FFFFFF89"/>
    <w:multiLevelType w:val="singleLevel"/>
    <w:tmpl w:val="74CAFE6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B895B5A"/>
    <w:multiLevelType w:val="hybridMultilevel"/>
    <w:tmpl w:val="1206C3B0"/>
    <w:lvl w:ilvl="0" w:tplc="C0D67792">
      <w:start w:val="1"/>
      <w:numFmt w:val="bullet"/>
      <w:pStyle w:val="ListBullet2"/>
      <w:lvlText w:val=""/>
      <w:lvlJc w:val="left"/>
      <w:pPr>
        <w:ind w:left="1080" w:hanging="360"/>
      </w:pPr>
      <w:rPr>
        <w:rFonts w:ascii="Symbol" w:hAnsi="Symbol" w:hint="default"/>
        <w:color w:val="F44E39" w:themeColor="accen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69430690"/>
    <w:multiLevelType w:val="multilevel"/>
    <w:tmpl w:val="A3F46B76"/>
    <w:lvl w:ilvl="0">
      <w:start w:val="1"/>
      <w:numFmt w:val="decimal"/>
      <w:pStyle w:val="ListNumber"/>
      <w:lvlText w:val="%1."/>
      <w:lvlJc w:val="left"/>
      <w:pPr>
        <w:ind w:left="720" w:hanging="360"/>
      </w:pPr>
      <w:rPr>
        <w:rFonts w:asciiTheme="minorHAnsi" w:hAnsiTheme="minorHAnsi" w:hint="default"/>
        <w:b/>
        <w:i w:val="0"/>
        <w:color w:val="1CBECA" w:themeColor="accent4"/>
      </w:rPr>
    </w:lvl>
    <w:lvl w:ilvl="1">
      <w:start w:val="1"/>
      <w:numFmt w:val="lowerLetter"/>
      <w:lvlText w:val="%2."/>
      <w:lvlJc w:val="left"/>
      <w:pPr>
        <w:ind w:left="1080" w:hanging="360"/>
      </w:pPr>
      <w:rPr>
        <w:rFonts w:asciiTheme="minorHAnsi" w:hAnsiTheme="minorHAnsi" w:hint="default"/>
        <w:b/>
        <w:i w:val="0"/>
        <w:color w:val="1CBECA" w:themeColor="accent4"/>
      </w:rPr>
    </w:lvl>
    <w:lvl w:ilvl="2">
      <w:start w:val="1"/>
      <w:numFmt w:val="lowerRoman"/>
      <w:lvlText w:val="%3."/>
      <w:lvlJc w:val="left"/>
      <w:pPr>
        <w:ind w:left="1440" w:hanging="360"/>
      </w:pPr>
      <w:rPr>
        <w:rFonts w:ascii="Arial" w:hAnsi="Arial" w:hint="default"/>
        <w:b/>
        <w:i w:val="0"/>
        <w:color w:val="1CBECA" w:themeColor="accent4"/>
      </w:rPr>
    </w:lvl>
    <w:lvl w:ilvl="3">
      <w:start w:val="1"/>
      <w:numFmt w:val="decimal"/>
      <w:lvlText w:val="%4."/>
      <w:lvlJc w:val="left"/>
      <w:pPr>
        <w:ind w:left="1800" w:hanging="360"/>
      </w:pPr>
      <w:rPr>
        <w:rFonts w:asciiTheme="minorHAnsi" w:hAnsiTheme="minorHAnsi" w:hint="default"/>
        <w:b w:val="0"/>
        <w:i w:val="0"/>
        <w:color w:val="1CBECA" w:themeColor="accent4"/>
      </w:rPr>
    </w:lvl>
    <w:lvl w:ilvl="4">
      <w:start w:val="1"/>
      <w:numFmt w:val="lowerLetter"/>
      <w:lvlText w:val="%5."/>
      <w:lvlJc w:val="left"/>
      <w:pPr>
        <w:ind w:left="2160" w:hanging="360"/>
      </w:pPr>
      <w:rPr>
        <w:rFonts w:asciiTheme="minorHAnsi" w:hAnsiTheme="minorHAnsi" w:hint="default"/>
        <w:b w:val="0"/>
        <w:i w:val="0"/>
        <w:color w:val="1CBECA" w:themeColor="accent4"/>
      </w:rPr>
    </w:lvl>
    <w:lvl w:ilvl="5">
      <w:start w:val="1"/>
      <w:numFmt w:val="lowerRoman"/>
      <w:lvlText w:val="%6."/>
      <w:lvlJc w:val="left"/>
      <w:pPr>
        <w:ind w:left="2520" w:hanging="360"/>
      </w:pPr>
      <w:rPr>
        <w:rFonts w:asciiTheme="minorHAnsi" w:hAnsiTheme="minorHAnsi" w:hint="default"/>
        <w:b w:val="0"/>
        <w:i w:val="0"/>
        <w:color w:val="1CBECA" w:themeColor="accent4"/>
      </w:rPr>
    </w:lvl>
    <w:lvl w:ilvl="6">
      <w:start w:val="1"/>
      <w:numFmt w:val="decimal"/>
      <w:lvlText w:val="%7."/>
      <w:lvlJc w:val="left"/>
      <w:pPr>
        <w:ind w:left="2880" w:hanging="360"/>
      </w:pPr>
      <w:rPr>
        <w:rFonts w:asciiTheme="minorHAnsi" w:hAnsiTheme="minorHAnsi" w:hint="default"/>
        <w:b w:val="0"/>
        <w:i w:val="0"/>
        <w:color w:val="94A0AE" w:themeColor="text2" w:themeTint="99"/>
      </w:rPr>
    </w:lvl>
    <w:lvl w:ilvl="7">
      <w:start w:val="1"/>
      <w:numFmt w:val="lowerLetter"/>
      <w:lvlText w:val="%8."/>
      <w:lvlJc w:val="left"/>
      <w:pPr>
        <w:ind w:left="3240" w:hanging="360"/>
      </w:pPr>
      <w:rPr>
        <w:rFonts w:asciiTheme="minorHAnsi" w:hAnsiTheme="minorHAnsi" w:hint="default"/>
        <w:b w:val="0"/>
        <w:i w:val="0"/>
        <w:color w:val="94A0AE" w:themeColor="text2" w:themeTint="99"/>
      </w:rPr>
    </w:lvl>
    <w:lvl w:ilvl="8">
      <w:start w:val="1"/>
      <w:numFmt w:val="lowerRoman"/>
      <w:lvlText w:val="%9."/>
      <w:lvlJc w:val="left"/>
      <w:pPr>
        <w:ind w:left="3600" w:hanging="360"/>
      </w:pPr>
      <w:rPr>
        <w:rFonts w:asciiTheme="minorHAnsi" w:hAnsiTheme="minorHAnsi" w:hint="default"/>
        <w:b w:val="0"/>
        <w:i w:val="0"/>
        <w:caps w:val="0"/>
        <w:color w:val="94A0AE" w:themeColor="text2" w:themeTint="99"/>
      </w:rPr>
    </w:lvl>
  </w:abstractNum>
  <w:abstractNum w:abstractNumId="4" w15:restartNumberingAfterBreak="0">
    <w:nsid w:val="6FBE2A2C"/>
    <w:multiLevelType w:val="hybridMultilevel"/>
    <w:tmpl w:val="90D6DB68"/>
    <w:lvl w:ilvl="0" w:tplc="AE08DF0C">
      <w:start w:val="1"/>
      <w:numFmt w:val="bullet"/>
      <w:pStyle w:val="ListBullet"/>
      <w:lvlText w:val=""/>
      <w:lvlJc w:val="left"/>
      <w:pPr>
        <w:ind w:left="720" w:hanging="360"/>
      </w:pPr>
      <w:rPr>
        <w:rFonts w:ascii="Symbol" w:hAnsi="Symbol" w:hint="default"/>
        <w:color w:val="1CBECA" w:themeColor="accent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0389500">
    <w:abstractNumId w:val="0"/>
  </w:num>
  <w:num w:numId="2" w16cid:durableId="1222054695">
    <w:abstractNumId w:val="4"/>
  </w:num>
  <w:num w:numId="3" w16cid:durableId="115682986">
    <w:abstractNumId w:val="3"/>
  </w:num>
  <w:num w:numId="4" w16cid:durableId="726957834">
    <w:abstractNumId w:val="2"/>
  </w:num>
  <w:num w:numId="5" w16cid:durableId="9588735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108967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646726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94774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86608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2853994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DDA"/>
    <w:rsid w:val="000125DE"/>
    <w:rsid w:val="000160F4"/>
    <w:rsid w:val="00023600"/>
    <w:rsid w:val="00033616"/>
    <w:rsid w:val="00042AD3"/>
    <w:rsid w:val="0004598A"/>
    <w:rsid w:val="00065653"/>
    <w:rsid w:val="00072947"/>
    <w:rsid w:val="0007308E"/>
    <w:rsid w:val="000945B8"/>
    <w:rsid w:val="000A7251"/>
    <w:rsid w:val="000B01D8"/>
    <w:rsid w:val="000B1FF1"/>
    <w:rsid w:val="000B4FE5"/>
    <w:rsid w:val="000B60EB"/>
    <w:rsid w:val="000B6A9B"/>
    <w:rsid w:val="000C02F9"/>
    <w:rsid w:val="000D463A"/>
    <w:rsid w:val="000E2FBB"/>
    <w:rsid w:val="000E3DC9"/>
    <w:rsid w:val="000E4F87"/>
    <w:rsid w:val="000E673C"/>
    <w:rsid w:val="000F3850"/>
    <w:rsid w:val="00103221"/>
    <w:rsid w:val="0010352C"/>
    <w:rsid w:val="0010711D"/>
    <w:rsid w:val="00110A2B"/>
    <w:rsid w:val="00113CDA"/>
    <w:rsid w:val="00116C59"/>
    <w:rsid w:val="0011704B"/>
    <w:rsid w:val="0012065E"/>
    <w:rsid w:val="00136368"/>
    <w:rsid w:val="00140025"/>
    <w:rsid w:val="00145661"/>
    <w:rsid w:val="00182A5E"/>
    <w:rsid w:val="001A6C1D"/>
    <w:rsid w:val="001B1771"/>
    <w:rsid w:val="001B6CFD"/>
    <w:rsid w:val="001C6A04"/>
    <w:rsid w:val="001D0AFB"/>
    <w:rsid w:val="001E1119"/>
    <w:rsid w:val="001E181A"/>
    <w:rsid w:val="001E21CA"/>
    <w:rsid w:val="001E6856"/>
    <w:rsid w:val="001E7B0E"/>
    <w:rsid w:val="00203B58"/>
    <w:rsid w:val="00207622"/>
    <w:rsid w:val="0021306D"/>
    <w:rsid w:val="00224F48"/>
    <w:rsid w:val="00236CB0"/>
    <w:rsid w:val="00246964"/>
    <w:rsid w:val="00272629"/>
    <w:rsid w:val="00292978"/>
    <w:rsid w:val="00295BD7"/>
    <w:rsid w:val="00297CCC"/>
    <w:rsid w:val="002A6B86"/>
    <w:rsid w:val="002B7C09"/>
    <w:rsid w:val="002C71BD"/>
    <w:rsid w:val="002D1082"/>
    <w:rsid w:val="002D69BB"/>
    <w:rsid w:val="002E431B"/>
    <w:rsid w:val="002F05F3"/>
    <w:rsid w:val="002F3CFF"/>
    <w:rsid w:val="002F5C03"/>
    <w:rsid w:val="002F7A40"/>
    <w:rsid w:val="00321056"/>
    <w:rsid w:val="00321AC5"/>
    <w:rsid w:val="003301E5"/>
    <w:rsid w:val="00333614"/>
    <w:rsid w:val="00333734"/>
    <w:rsid w:val="0033658D"/>
    <w:rsid w:val="00350191"/>
    <w:rsid w:val="003662F9"/>
    <w:rsid w:val="00367F7F"/>
    <w:rsid w:val="0037113F"/>
    <w:rsid w:val="00377DA8"/>
    <w:rsid w:val="003841CC"/>
    <w:rsid w:val="00384704"/>
    <w:rsid w:val="00385EE2"/>
    <w:rsid w:val="00390895"/>
    <w:rsid w:val="003914D9"/>
    <w:rsid w:val="003A5AD2"/>
    <w:rsid w:val="003B3D97"/>
    <w:rsid w:val="003E084B"/>
    <w:rsid w:val="003F3263"/>
    <w:rsid w:val="003F356C"/>
    <w:rsid w:val="003F508C"/>
    <w:rsid w:val="00411F02"/>
    <w:rsid w:val="004147DA"/>
    <w:rsid w:val="00417C9D"/>
    <w:rsid w:val="00426705"/>
    <w:rsid w:val="004341B5"/>
    <w:rsid w:val="00442832"/>
    <w:rsid w:val="00457D8B"/>
    <w:rsid w:val="004800F6"/>
    <w:rsid w:val="00487ECB"/>
    <w:rsid w:val="004970A9"/>
    <w:rsid w:val="004B0B6D"/>
    <w:rsid w:val="004B48C6"/>
    <w:rsid w:val="004D18BD"/>
    <w:rsid w:val="004D5B18"/>
    <w:rsid w:val="004D7716"/>
    <w:rsid w:val="004E0672"/>
    <w:rsid w:val="004F2471"/>
    <w:rsid w:val="004F542B"/>
    <w:rsid w:val="005159F8"/>
    <w:rsid w:val="00516A7A"/>
    <w:rsid w:val="00542A1B"/>
    <w:rsid w:val="00563E1D"/>
    <w:rsid w:val="00571672"/>
    <w:rsid w:val="0058074A"/>
    <w:rsid w:val="005842F6"/>
    <w:rsid w:val="00593586"/>
    <w:rsid w:val="005935AB"/>
    <w:rsid w:val="00594883"/>
    <w:rsid w:val="005A7D57"/>
    <w:rsid w:val="005B305E"/>
    <w:rsid w:val="005B48BA"/>
    <w:rsid w:val="005E1E93"/>
    <w:rsid w:val="006054D3"/>
    <w:rsid w:val="006075E4"/>
    <w:rsid w:val="00610ABA"/>
    <w:rsid w:val="0062578C"/>
    <w:rsid w:val="00645111"/>
    <w:rsid w:val="0065338F"/>
    <w:rsid w:val="00672DDA"/>
    <w:rsid w:val="006739AC"/>
    <w:rsid w:val="00680F20"/>
    <w:rsid w:val="006A7898"/>
    <w:rsid w:val="006B0BBC"/>
    <w:rsid w:val="006B386F"/>
    <w:rsid w:val="006B55E9"/>
    <w:rsid w:val="006C205C"/>
    <w:rsid w:val="006C4D47"/>
    <w:rsid w:val="006D63E5"/>
    <w:rsid w:val="006F6EBA"/>
    <w:rsid w:val="00707D37"/>
    <w:rsid w:val="00714648"/>
    <w:rsid w:val="00722DAB"/>
    <w:rsid w:val="0073327B"/>
    <w:rsid w:val="007350BA"/>
    <w:rsid w:val="00745CA6"/>
    <w:rsid w:val="007526FA"/>
    <w:rsid w:val="00754F1F"/>
    <w:rsid w:val="00792665"/>
    <w:rsid w:val="007A0D70"/>
    <w:rsid w:val="007A7B73"/>
    <w:rsid w:val="007B1464"/>
    <w:rsid w:val="007C0ABF"/>
    <w:rsid w:val="007C24E8"/>
    <w:rsid w:val="007C76DC"/>
    <w:rsid w:val="007D792D"/>
    <w:rsid w:val="007E1814"/>
    <w:rsid w:val="007F3563"/>
    <w:rsid w:val="0081548A"/>
    <w:rsid w:val="008208E0"/>
    <w:rsid w:val="00843C34"/>
    <w:rsid w:val="00850D6C"/>
    <w:rsid w:val="0085688B"/>
    <w:rsid w:val="00861F6D"/>
    <w:rsid w:val="008631E0"/>
    <w:rsid w:val="0086425F"/>
    <w:rsid w:val="00865E38"/>
    <w:rsid w:val="008A033B"/>
    <w:rsid w:val="008A0ACF"/>
    <w:rsid w:val="008B46BD"/>
    <w:rsid w:val="008C2A39"/>
    <w:rsid w:val="008C3269"/>
    <w:rsid w:val="008C3917"/>
    <w:rsid w:val="008C422A"/>
    <w:rsid w:val="008D4275"/>
    <w:rsid w:val="008E14D5"/>
    <w:rsid w:val="008E5704"/>
    <w:rsid w:val="00901AE3"/>
    <w:rsid w:val="00930F1E"/>
    <w:rsid w:val="009441DB"/>
    <w:rsid w:val="0094484F"/>
    <w:rsid w:val="00945E2F"/>
    <w:rsid w:val="00960D80"/>
    <w:rsid w:val="009648EC"/>
    <w:rsid w:val="00972C4F"/>
    <w:rsid w:val="00975A87"/>
    <w:rsid w:val="00983F11"/>
    <w:rsid w:val="00986975"/>
    <w:rsid w:val="0099049A"/>
    <w:rsid w:val="00991CC2"/>
    <w:rsid w:val="00993E51"/>
    <w:rsid w:val="009B1126"/>
    <w:rsid w:val="009C27D5"/>
    <w:rsid w:val="009D6A41"/>
    <w:rsid w:val="009D7542"/>
    <w:rsid w:val="00A03216"/>
    <w:rsid w:val="00A0726A"/>
    <w:rsid w:val="00A14B73"/>
    <w:rsid w:val="00A344D9"/>
    <w:rsid w:val="00A62915"/>
    <w:rsid w:val="00A6338C"/>
    <w:rsid w:val="00A67D95"/>
    <w:rsid w:val="00A72197"/>
    <w:rsid w:val="00A74AE2"/>
    <w:rsid w:val="00A74CBF"/>
    <w:rsid w:val="00A757B5"/>
    <w:rsid w:val="00A82F33"/>
    <w:rsid w:val="00A85E8A"/>
    <w:rsid w:val="00A948AF"/>
    <w:rsid w:val="00A94C7E"/>
    <w:rsid w:val="00A9629D"/>
    <w:rsid w:val="00AA7818"/>
    <w:rsid w:val="00AB5E63"/>
    <w:rsid w:val="00AD1AC7"/>
    <w:rsid w:val="00AD7B91"/>
    <w:rsid w:val="00AE754D"/>
    <w:rsid w:val="00AF07B1"/>
    <w:rsid w:val="00B17645"/>
    <w:rsid w:val="00B21487"/>
    <w:rsid w:val="00B21B6D"/>
    <w:rsid w:val="00B2313B"/>
    <w:rsid w:val="00B57B19"/>
    <w:rsid w:val="00B71925"/>
    <w:rsid w:val="00B80A1C"/>
    <w:rsid w:val="00B80D07"/>
    <w:rsid w:val="00BA15CA"/>
    <w:rsid w:val="00BA6453"/>
    <w:rsid w:val="00BE3BFD"/>
    <w:rsid w:val="00BE42D5"/>
    <w:rsid w:val="00BE6714"/>
    <w:rsid w:val="00BF5E08"/>
    <w:rsid w:val="00C02B88"/>
    <w:rsid w:val="00C21453"/>
    <w:rsid w:val="00C214CE"/>
    <w:rsid w:val="00C26520"/>
    <w:rsid w:val="00C44976"/>
    <w:rsid w:val="00C50E5D"/>
    <w:rsid w:val="00C643A2"/>
    <w:rsid w:val="00C67687"/>
    <w:rsid w:val="00C82188"/>
    <w:rsid w:val="00C8537E"/>
    <w:rsid w:val="00C94E3F"/>
    <w:rsid w:val="00CA1A91"/>
    <w:rsid w:val="00CA6C2E"/>
    <w:rsid w:val="00CB1AAE"/>
    <w:rsid w:val="00CD4133"/>
    <w:rsid w:val="00CE2591"/>
    <w:rsid w:val="00CE4652"/>
    <w:rsid w:val="00CE4A93"/>
    <w:rsid w:val="00CF2A42"/>
    <w:rsid w:val="00CF69AF"/>
    <w:rsid w:val="00D069EA"/>
    <w:rsid w:val="00D10C64"/>
    <w:rsid w:val="00D169A1"/>
    <w:rsid w:val="00D278E7"/>
    <w:rsid w:val="00D31EF1"/>
    <w:rsid w:val="00D47874"/>
    <w:rsid w:val="00D57949"/>
    <w:rsid w:val="00D60688"/>
    <w:rsid w:val="00D67FCC"/>
    <w:rsid w:val="00D74F7D"/>
    <w:rsid w:val="00D77D8F"/>
    <w:rsid w:val="00D975D3"/>
    <w:rsid w:val="00D97C3C"/>
    <w:rsid w:val="00DA206E"/>
    <w:rsid w:val="00DC09BF"/>
    <w:rsid w:val="00DE24B0"/>
    <w:rsid w:val="00DF0086"/>
    <w:rsid w:val="00DF05EF"/>
    <w:rsid w:val="00E021B8"/>
    <w:rsid w:val="00E0226D"/>
    <w:rsid w:val="00E0559F"/>
    <w:rsid w:val="00E10A3E"/>
    <w:rsid w:val="00E15B17"/>
    <w:rsid w:val="00E2008C"/>
    <w:rsid w:val="00E222DC"/>
    <w:rsid w:val="00E36203"/>
    <w:rsid w:val="00E55F45"/>
    <w:rsid w:val="00E63A7A"/>
    <w:rsid w:val="00E6527E"/>
    <w:rsid w:val="00E82D2F"/>
    <w:rsid w:val="00E83998"/>
    <w:rsid w:val="00E84563"/>
    <w:rsid w:val="00E9167F"/>
    <w:rsid w:val="00E91E47"/>
    <w:rsid w:val="00EA0F17"/>
    <w:rsid w:val="00EA35EC"/>
    <w:rsid w:val="00EB1818"/>
    <w:rsid w:val="00EB1BC4"/>
    <w:rsid w:val="00EC6BA4"/>
    <w:rsid w:val="00ED0A97"/>
    <w:rsid w:val="00ED21B3"/>
    <w:rsid w:val="00ED355F"/>
    <w:rsid w:val="00F130D3"/>
    <w:rsid w:val="00F1557D"/>
    <w:rsid w:val="00F15ED1"/>
    <w:rsid w:val="00F23D60"/>
    <w:rsid w:val="00F33C39"/>
    <w:rsid w:val="00F33E16"/>
    <w:rsid w:val="00F4082D"/>
    <w:rsid w:val="00F529D5"/>
    <w:rsid w:val="00F53896"/>
    <w:rsid w:val="00F55BB1"/>
    <w:rsid w:val="00F63D6C"/>
    <w:rsid w:val="00F660C3"/>
    <w:rsid w:val="00F76FF0"/>
    <w:rsid w:val="00F7715D"/>
    <w:rsid w:val="00F80570"/>
    <w:rsid w:val="00F86736"/>
    <w:rsid w:val="00FA4E72"/>
    <w:rsid w:val="00FD60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62659"/>
  <w15:docId w15:val="{E9EE7BE4-3A79-4D07-9080-5CCAD0D9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rsid w:val="00991CC2"/>
  </w:style>
  <w:style w:type="paragraph" w:styleId="Heading1">
    <w:name w:val="heading 1"/>
    <w:basedOn w:val="Normal"/>
    <w:next w:val="Normal"/>
    <w:link w:val="Heading1Char"/>
    <w:uiPriority w:val="9"/>
    <w:qFormat/>
    <w:rsid w:val="006B386F"/>
    <w:pPr>
      <w:keepNext/>
      <w:keepLines/>
      <w:pageBreakBefore/>
      <w:pBdr>
        <w:bottom w:val="single" w:sz="18" w:space="1" w:color="1CBECA" w:themeColor="accent4"/>
      </w:pBdr>
      <w:spacing w:before="240" w:after="240"/>
      <w:outlineLvl w:val="0"/>
    </w:pPr>
    <w:rPr>
      <w:rFonts w:asciiTheme="majorHAnsi" w:eastAsiaTheme="majorEastAsia" w:hAnsiTheme="majorHAnsi" w:cstheme="majorBidi"/>
      <w:color w:val="556270" w:themeColor="text2"/>
      <w:sz w:val="52"/>
      <w:szCs w:val="40"/>
    </w:rPr>
  </w:style>
  <w:style w:type="paragraph" w:styleId="Heading2">
    <w:name w:val="heading 2"/>
    <w:basedOn w:val="Normal"/>
    <w:next w:val="Normal"/>
    <w:link w:val="Heading2Char"/>
    <w:uiPriority w:val="9"/>
    <w:qFormat/>
    <w:rsid w:val="006B386F"/>
    <w:pPr>
      <w:keepNext/>
      <w:keepLines/>
      <w:spacing w:before="240" w:after="120"/>
      <w:outlineLvl w:val="1"/>
    </w:pPr>
    <w:rPr>
      <w:rFonts w:asciiTheme="majorHAnsi" w:eastAsiaTheme="majorEastAsia" w:hAnsiTheme="majorHAnsi" w:cstheme="majorBidi"/>
      <w:color w:val="1CBECA" w:themeColor="accent4"/>
      <w:sz w:val="40"/>
      <w:szCs w:val="26"/>
    </w:rPr>
  </w:style>
  <w:style w:type="paragraph" w:styleId="Heading3">
    <w:name w:val="heading 3"/>
    <w:basedOn w:val="Normal"/>
    <w:next w:val="Normal"/>
    <w:link w:val="Heading3Char"/>
    <w:uiPriority w:val="9"/>
    <w:qFormat/>
    <w:rsid w:val="006B386F"/>
    <w:pPr>
      <w:keepNext/>
      <w:keepLines/>
      <w:spacing w:before="120" w:after="120"/>
      <w:outlineLvl w:val="2"/>
    </w:pPr>
    <w:rPr>
      <w:rFonts w:asciiTheme="majorHAnsi" w:eastAsiaTheme="majorEastAsia" w:hAnsiTheme="majorHAnsi" w:cstheme="majorBidi"/>
      <w:color w:val="3F4953" w:themeColor="text2" w:themeShade="BF"/>
      <w:sz w:val="36"/>
      <w:szCs w:val="24"/>
    </w:rPr>
  </w:style>
  <w:style w:type="paragraph" w:styleId="Heading4">
    <w:name w:val="heading 4"/>
    <w:basedOn w:val="Normal"/>
    <w:next w:val="Normal"/>
    <w:link w:val="Heading4Char"/>
    <w:uiPriority w:val="9"/>
    <w:qFormat/>
    <w:rsid w:val="00145661"/>
    <w:pPr>
      <w:keepNext/>
      <w:keepLines/>
      <w:spacing w:before="120" w:after="120"/>
      <w:outlineLvl w:val="3"/>
    </w:pPr>
    <w:rPr>
      <w:rFonts w:asciiTheme="majorHAnsi" w:eastAsiaTheme="majorEastAsia" w:hAnsiTheme="majorHAnsi" w:cstheme="majorBidi"/>
      <w:i/>
      <w:iCs/>
      <w:color w:val="158D97" w:themeColor="accent4" w:themeShade="BF"/>
      <w:sz w:val="32"/>
    </w:rPr>
  </w:style>
  <w:style w:type="paragraph" w:styleId="Heading5">
    <w:name w:val="heading 5"/>
    <w:basedOn w:val="Normal"/>
    <w:next w:val="Normal"/>
    <w:link w:val="Heading5Char"/>
    <w:uiPriority w:val="9"/>
    <w:qFormat/>
    <w:rsid w:val="00145661"/>
    <w:pPr>
      <w:keepNext/>
      <w:keepLines/>
      <w:spacing w:before="40" w:after="120"/>
      <w:outlineLvl w:val="4"/>
    </w:pPr>
    <w:rPr>
      <w:rFonts w:asciiTheme="majorHAnsi" w:eastAsiaTheme="majorEastAsia" w:hAnsiTheme="majorHAnsi" w:cstheme="majorBidi"/>
      <w:color w:val="556270" w:themeColor="text2"/>
      <w:sz w:val="28"/>
    </w:rPr>
  </w:style>
  <w:style w:type="paragraph" w:styleId="Heading6">
    <w:name w:val="heading 6"/>
    <w:aliases w:val="Appendix Heading 1"/>
    <w:basedOn w:val="Heading1"/>
    <w:next w:val="Normal"/>
    <w:link w:val="Heading6Char"/>
    <w:uiPriority w:val="9"/>
    <w:unhideWhenUsed/>
    <w:qFormat/>
    <w:rsid w:val="00DE24B0"/>
    <w:pPr>
      <w:spacing w:before="40" w:after="0"/>
      <w:outlineLvl w:val="5"/>
    </w:pPr>
  </w:style>
  <w:style w:type="paragraph" w:styleId="Heading7">
    <w:name w:val="heading 7"/>
    <w:aliases w:val="Appendix Heading 2"/>
    <w:basedOn w:val="Heading2"/>
    <w:next w:val="Normal"/>
    <w:link w:val="Heading7Char"/>
    <w:uiPriority w:val="9"/>
    <w:unhideWhenUsed/>
    <w:qFormat/>
    <w:rsid w:val="00ED0A97"/>
    <w:pPr>
      <w:outlineLvl w:val="6"/>
    </w:pPr>
    <w:rPr>
      <w:iCs/>
    </w:rPr>
  </w:style>
  <w:style w:type="paragraph" w:styleId="Heading8">
    <w:name w:val="heading 8"/>
    <w:aliases w:val="Appendix Heading 3"/>
    <w:basedOn w:val="Heading3"/>
    <w:next w:val="Normal"/>
    <w:link w:val="Heading8Char"/>
    <w:uiPriority w:val="9"/>
    <w:unhideWhenUsed/>
    <w:qFormat/>
    <w:rsid w:val="00542A1B"/>
    <w:pPr>
      <w:outlineLvl w:val="7"/>
    </w:pPr>
    <w:rPr>
      <w:szCs w:val="21"/>
    </w:rPr>
  </w:style>
  <w:style w:type="paragraph" w:styleId="Heading9">
    <w:name w:val="heading 9"/>
    <w:aliases w:val="Appendix Heading 4"/>
    <w:basedOn w:val="Heading4"/>
    <w:next w:val="Normal"/>
    <w:link w:val="Heading9Char"/>
    <w:uiPriority w:val="9"/>
    <w:unhideWhenUsed/>
    <w:qFormat/>
    <w:rsid w:val="00542A1B"/>
    <w:pPr>
      <w:outlineLvl w:val="8"/>
    </w:pPr>
    <w:rPr>
      <w:iCs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aliases w:val="Number 1"/>
    <w:basedOn w:val="Normal"/>
    <w:uiPriority w:val="99"/>
    <w:qFormat/>
    <w:rsid w:val="007D792D"/>
    <w:pPr>
      <w:numPr>
        <w:numId w:val="3"/>
      </w:numPr>
      <w:spacing w:after="40" w:line="300" w:lineRule="auto"/>
    </w:pPr>
  </w:style>
  <w:style w:type="paragraph" w:styleId="Title">
    <w:name w:val="Title"/>
    <w:basedOn w:val="Normal"/>
    <w:next w:val="Normal"/>
    <w:link w:val="TitleChar"/>
    <w:uiPriority w:val="10"/>
    <w:qFormat/>
    <w:rsid w:val="00B2313B"/>
    <w:pPr>
      <w:contextualSpacing/>
    </w:pPr>
    <w:rPr>
      <w:rFonts w:asciiTheme="majorHAnsi" w:eastAsiaTheme="majorEastAsia" w:hAnsiTheme="majorHAnsi" w:cstheme="majorBidi"/>
      <w:color w:val="556270" w:themeColor="text2"/>
      <w:spacing w:val="-10"/>
      <w:kern w:val="28"/>
      <w:sz w:val="72"/>
      <w:szCs w:val="72"/>
    </w:rPr>
  </w:style>
  <w:style w:type="character" w:customStyle="1" w:styleId="TitleChar">
    <w:name w:val="Title Char"/>
    <w:basedOn w:val="DefaultParagraphFont"/>
    <w:link w:val="Title"/>
    <w:uiPriority w:val="10"/>
    <w:rsid w:val="00B2313B"/>
    <w:rPr>
      <w:rFonts w:asciiTheme="majorHAnsi" w:eastAsiaTheme="majorEastAsia" w:hAnsiTheme="majorHAnsi" w:cstheme="majorBidi"/>
      <w:color w:val="556270" w:themeColor="text2"/>
      <w:spacing w:val="-10"/>
      <w:kern w:val="28"/>
      <w:sz w:val="72"/>
      <w:szCs w:val="72"/>
    </w:rPr>
  </w:style>
  <w:style w:type="paragraph" w:styleId="Header">
    <w:name w:val="header"/>
    <w:basedOn w:val="Normal"/>
    <w:link w:val="HeaderChar"/>
    <w:uiPriority w:val="99"/>
    <w:rsid w:val="009C27D5"/>
    <w:pPr>
      <w:tabs>
        <w:tab w:val="center" w:pos="4680"/>
        <w:tab w:val="right" w:pos="9360"/>
      </w:tabs>
    </w:pPr>
  </w:style>
  <w:style w:type="paragraph" w:styleId="Bibliography">
    <w:name w:val="Bibliography"/>
    <w:basedOn w:val="Normal"/>
    <w:next w:val="Normal"/>
    <w:uiPriority w:val="37"/>
    <w:semiHidden/>
    <w:rsid w:val="008E14D5"/>
  </w:style>
  <w:style w:type="character" w:customStyle="1" w:styleId="HeaderChar">
    <w:name w:val="Header Char"/>
    <w:basedOn w:val="DefaultParagraphFont"/>
    <w:link w:val="Header"/>
    <w:uiPriority w:val="99"/>
    <w:rsid w:val="0058074A"/>
  </w:style>
  <w:style w:type="paragraph" w:styleId="Footer">
    <w:name w:val="footer"/>
    <w:basedOn w:val="Normal"/>
    <w:link w:val="FooterChar"/>
    <w:uiPriority w:val="99"/>
    <w:rsid w:val="004E0672"/>
    <w:pPr>
      <w:pBdr>
        <w:bottom w:val="single" w:sz="8" w:space="1" w:color="94A0AE" w:themeColor="text2" w:themeTint="99"/>
      </w:pBdr>
      <w:tabs>
        <w:tab w:val="center" w:pos="4680"/>
        <w:tab w:val="right" w:pos="9360"/>
      </w:tabs>
    </w:pPr>
    <w:rPr>
      <w:rFonts w:ascii="Arial Narrow" w:hAnsi="Arial Narrow"/>
      <w:caps/>
      <w:color w:val="556270" w:themeColor="text2"/>
      <w:sz w:val="20"/>
    </w:rPr>
  </w:style>
  <w:style w:type="character" w:styleId="CommentReference">
    <w:name w:val="annotation reference"/>
    <w:basedOn w:val="DefaultParagraphFont"/>
    <w:unhideWhenUsed/>
    <w:rsid w:val="009441DB"/>
    <w:rPr>
      <w:sz w:val="16"/>
      <w:szCs w:val="16"/>
    </w:rPr>
  </w:style>
  <w:style w:type="paragraph" w:styleId="CommentText">
    <w:name w:val="annotation text"/>
    <w:basedOn w:val="Normal"/>
    <w:link w:val="CommentTextChar"/>
    <w:uiPriority w:val="99"/>
    <w:unhideWhenUsed/>
    <w:rsid w:val="009441DB"/>
    <w:rPr>
      <w:sz w:val="20"/>
      <w:szCs w:val="20"/>
    </w:rPr>
  </w:style>
  <w:style w:type="character" w:customStyle="1" w:styleId="CommentTextChar">
    <w:name w:val="Comment Text Char"/>
    <w:basedOn w:val="DefaultParagraphFont"/>
    <w:link w:val="CommentText"/>
    <w:uiPriority w:val="99"/>
    <w:rsid w:val="009441DB"/>
    <w:rPr>
      <w:sz w:val="20"/>
      <w:szCs w:val="20"/>
    </w:rPr>
  </w:style>
  <w:style w:type="paragraph" w:styleId="CommentSubject">
    <w:name w:val="annotation subject"/>
    <w:basedOn w:val="CommentText"/>
    <w:next w:val="CommentText"/>
    <w:link w:val="CommentSubjectChar"/>
    <w:uiPriority w:val="99"/>
    <w:semiHidden/>
    <w:unhideWhenUsed/>
    <w:rsid w:val="009441DB"/>
    <w:rPr>
      <w:b/>
      <w:bCs/>
    </w:rPr>
  </w:style>
  <w:style w:type="character" w:customStyle="1" w:styleId="CommentSubjectChar">
    <w:name w:val="Comment Subject Char"/>
    <w:basedOn w:val="CommentTextChar"/>
    <w:link w:val="CommentSubject"/>
    <w:uiPriority w:val="99"/>
    <w:semiHidden/>
    <w:rsid w:val="009441DB"/>
    <w:rPr>
      <w:b/>
      <w:bCs/>
      <w:sz w:val="20"/>
      <w:szCs w:val="20"/>
    </w:rPr>
  </w:style>
  <w:style w:type="paragraph" w:styleId="BalloonText">
    <w:name w:val="Balloon Text"/>
    <w:basedOn w:val="Normal"/>
    <w:link w:val="BalloonTextChar"/>
    <w:uiPriority w:val="99"/>
    <w:semiHidden/>
    <w:rsid w:val="00D77D8F"/>
    <w:rPr>
      <w:rFonts w:ascii="Arial" w:hAnsi="Arial" w:cs="Segoe UI"/>
      <w:sz w:val="18"/>
      <w:szCs w:val="18"/>
    </w:rPr>
  </w:style>
  <w:style w:type="character" w:customStyle="1" w:styleId="BalloonTextChar">
    <w:name w:val="Balloon Text Char"/>
    <w:basedOn w:val="DefaultParagraphFont"/>
    <w:link w:val="BalloonText"/>
    <w:uiPriority w:val="99"/>
    <w:semiHidden/>
    <w:rsid w:val="004B0B6D"/>
    <w:rPr>
      <w:rFonts w:ascii="Arial" w:hAnsi="Arial" w:cs="Segoe UI"/>
      <w:sz w:val="18"/>
      <w:szCs w:val="18"/>
    </w:rPr>
  </w:style>
  <w:style w:type="paragraph" w:styleId="Revision">
    <w:name w:val="Revision"/>
    <w:hidden/>
    <w:uiPriority w:val="99"/>
    <w:semiHidden/>
    <w:rsid w:val="00ED355F"/>
  </w:style>
  <w:style w:type="character" w:customStyle="1" w:styleId="Heading1Char">
    <w:name w:val="Heading 1 Char"/>
    <w:basedOn w:val="DefaultParagraphFont"/>
    <w:link w:val="Heading1"/>
    <w:uiPriority w:val="9"/>
    <w:rsid w:val="006B386F"/>
    <w:rPr>
      <w:rFonts w:asciiTheme="majorHAnsi" w:eastAsiaTheme="majorEastAsia" w:hAnsiTheme="majorHAnsi" w:cstheme="majorBidi"/>
      <w:color w:val="556270" w:themeColor="text2"/>
      <w:sz w:val="52"/>
      <w:szCs w:val="40"/>
    </w:rPr>
  </w:style>
  <w:style w:type="paragraph" w:styleId="BlockText">
    <w:name w:val="Block Text"/>
    <w:basedOn w:val="Normal"/>
    <w:uiPriority w:val="99"/>
    <w:unhideWhenUsed/>
    <w:rsid w:val="008E14D5"/>
    <w:pPr>
      <w:pBdr>
        <w:top w:val="single" w:sz="8" w:space="10" w:color="1CBECA" w:themeColor="accent4"/>
        <w:left w:val="single" w:sz="8" w:space="10" w:color="1CBECA" w:themeColor="accent4"/>
        <w:bottom w:val="single" w:sz="8" w:space="10" w:color="1CBECA" w:themeColor="accent4"/>
        <w:right w:val="single" w:sz="8" w:space="10" w:color="1CBECA" w:themeColor="accent4"/>
      </w:pBdr>
      <w:ind w:left="1152" w:right="1152"/>
    </w:pPr>
    <w:rPr>
      <w:rFonts w:eastAsiaTheme="minorEastAsia"/>
      <w:i/>
      <w:iCs/>
      <w:color w:val="556270" w:themeColor="text2"/>
    </w:rPr>
  </w:style>
  <w:style w:type="character" w:customStyle="1" w:styleId="FooterChar">
    <w:name w:val="Footer Char"/>
    <w:basedOn w:val="DefaultParagraphFont"/>
    <w:link w:val="Footer"/>
    <w:uiPriority w:val="99"/>
    <w:rsid w:val="0058074A"/>
    <w:rPr>
      <w:rFonts w:ascii="Arial Narrow" w:hAnsi="Arial Narrow"/>
      <w:caps/>
      <w:color w:val="556270" w:themeColor="text2"/>
      <w:sz w:val="20"/>
    </w:rPr>
  </w:style>
  <w:style w:type="paragraph" w:styleId="Subtitle">
    <w:name w:val="Subtitle"/>
    <w:basedOn w:val="Normal"/>
    <w:next w:val="Normal"/>
    <w:link w:val="SubtitleChar"/>
    <w:uiPriority w:val="11"/>
    <w:qFormat/>
    <w:rsid w:val="003A5AD2"/>
    <w:pPr>
      <w:spacing w:before="120" w:after="120"/>
    </w:pPr>
    <w:rPr>
      <w:b/>
      <w:bCs/>
      <w:caps/>
      <w:color w:val="94A0AE" w:themeColor="text2" w:themeTint="99"/>
      <w:spacing w:val="60"/>
    </w:rPr>
  </w:style>
  <w:style w:type="character" w:customStyle="1" w:styleId="SubtitleChar">
    <w:name w:val="Subtitle Char"/>
    <w:basedOn w:val="DefaultParagraphFont"/>
    <w:link w:val="Subtitle"/>
    <w:uiPriority w:val="11"/>
    <w:rsid w:val="003A5AD2"/>
    <w:rPr>
      <w:b/>
      <w:bCs/>
      <w:caps/>
      <w:color w:val="94A0AE" w:themeColor="text2" w:themeTint="99"/>
      <w:spacing w:val="60"/>
    </w:rPr>
  </w:style>
  <w:style w:type="character" w:customStyle="1" w:styleId="Heading2Char">
    <w:name w:val="Heading 2 Char"/>
    <w:basedOn w:val="DefaultParagraphFont"/>
    <w:link w:val="Heading2"/>
    <w:uiPriority w:val="9"/>
    <w:rsid w:val="006B386F"/>
    <w:rPr>
      <w:rFonts w:asciiTheme="majorHAnsi" w:eastAsiaTheme="majorEastAsia" w:hAnsiTheme="majorHAnsi" w:cstheme="majorBidi"/>
      <w:color w:val="1CBECA" w:themeColor="accent4"/>
      <w:sz w:val="40"/>
      <w:szCs w:val="26"/>
    </w:rPr>
  </w:style>
  <w:style w:type="character" w:customStyle="1" w:styleId="Heading3Char">
    <w:name w:val="Heading 3 Char"/>
    <w:basedOn w:val="DefaultParagraphFont"/>
    <w:link w:val="Heading3"/>
    <w:uiPriority w:val="9"/>
    <w:rsid w:val="006B386F"/>
    <w:rPr>
      <w:rFonts w:asciiTheme="majorHAnsi" w:eastAsiaTheme="majorEastAsia" w:hAnsiTheme="majorHAnsi" w:cstheme="majorBidi"/>
      <w:color w:val="3F4953" w:themeColor="text2" w:themeShade="BF"/>
      <w:sz w:val="36"/>
      <w:szCs w:val="24"/>
    </w:rPr>
  </w:style>
  <w:style w:type="character" w:customStyle="1" w:styleId="Heading4Char">
    <w:name w:val="Heading 4 Char"/>
    <w:basedOn w:val="DefaultParagraphFont"/>
    <w:link w:val="Heading4"/>
    <w:uiPriority w:val="9"/>
    <w:rsid w:val="00145661"/>
    <w:rPr>
      <w:rFonts w:asciiTheme="majorHAnsi" w:eastAsiaTheme="majorEastAsia" w:hAnsiTheme="majorHAnsi" w:cstheme="majorBidi"/>
      <w:i/>
      <w:iCs/>
      <w:color w:val="158D97" w:themeColor="accent4" w:themeShade="BF"/>
      <w:sz w:val="32"/>
    </w:rPr>
  </w:style>
  <w:style w:type="character" w:customStyle="1" w:styleId="Heading5Char">
    <w:name w:val="Heading 5 Char"/>
    <w:basedOn w:val="DefaultParagraphFont"/>
    <w:link w:val="Heading5"/>
    <w:uiPriority w:val="9"/>
    <w:rsid w:val="00145661"/>
    <w:rPr>
      <w:rFonts w:asciiTheme="majorHAnsi" w:eastAsiaTheme="majorEastAsia" w:hAnsiTheme="majorHAnsi" w:cstheme="majorBidi"/>
      <w:color w:val="556270" w:themeColor="text2"/>
      <w:sz w:val="28"/>
    </w:rPr>
  </w:style>
  <w:style w:type="character" w:customStyle="1" w:styleId="Heading6Char">
    <w:name w:val="Heading 6 Char"/>
    <w:aliases w:val="Appendix Heading 1 Char"/>
    <w:basedOn w:val="DefaultParagraphFont"/>
    <w:link w:val="Heading6"/>
    <w:uiPriority w:val="9"/>
    <w:rsid w:val="00EA35EC"/>
    <w:rPr>
      <w:rFonts w:asciiTheme="majorHAnsi" w:eastAsiaTheme="majorEastAsia" w:hAnsiTheme="majorHAnsi" w:cstheme="majorBidi"/>
      <w:color w:val="556270" w:themeColor="text2"/>
      <w:sz w:val="48"/>
      <w:szCs w:val="40"/>
    </w:rPr>
  </w:style>
  <w:style w:type="character" w:customStyle="1" w:styleId="Heading7Char">
    <w:name w:val="Heading 7 Char"/>
    <w:aliases w:val="Appendix Heading 2 Char"/>
    <w:basedOn w:val="DefaultParagraphFont"/>
    <w:link w:val="Heading7"/>
    <w:uiPriority w:val="9"/>
    <w:rsid w:val="00ED0A97"/>
    <w:rPr>
      <w:rFonts w:asciiTheme="majorHAnsi" w:eastAsiaTheme="majorEastAsia" w:hAnsiTheme="majorHAnsi" w:cstheme="majorBidi"/>
      <w:iCs/>
      <w:color w:val="1CBECA" w:themeColor="accent4"/>
      <w:sz w:val="32"/>
      <w:szCs w:val="26"/>
    </w:rPr>
  </w:style>
  <w:style w:type="character" w:customStyle="1" w:styleId="Heading8Char">
    <w:name w:val="Heading 8 Char"/>
    <w:aliases w:val="Appendix Heading 3 Char"/>
    <w:basedOn w:val="DefaultParagraphFont"/>
    <w:link w:val="Heading8"/>
    <w:uiPriority w:val="9"/>
    <w:rsid w:val="00542A1B"/>
    <w:rPr>
      <w:rFonts w:asciiTheme="majorHAnsi" w:eastAsiaTheme="majorEastAsia" w:hAnsiTheme="majorHAnsi" w:cstheme="majorBidi"/>
      <w:color w:val="3F4953" w:themeColor="text2" w:themeShade="BF"/>
      <w:sz w:val="28"/>
      <w:szCs w:val="21"/>
    </w:rPr>
  </w:style>
  <w:style w:type="character" w:customStyle="1" w:styleId="Heading9Char">
    <w:name w:val="Heading 9 Char"/>
    <w:aliases w:val="Appendix Heading 4 Char"/>
    <w:basedOn w:val="DefaultParagraphFont"/>
    <w:link w:val="Heading9"/>
    <w:uiPriority w:val="9"/>
    <w:rsid w:val="00542A1B"/>
    <w:rPr>
      <w:rFonts w:asciiTheme="majorHAnsi" w:eastAsiaTheme="majorEastAsia" w:hAnsiTheme="majorHAnsi" w:cstheme="majorBidi"/>
      <w:i/>
      <w:color w:val="158D97" w:themeColor="accent4" w:themeShade="BF"/>
      <w:sz w:val="24"/>
      <w:szCs w:val="21"/>
    </w:rPr>
  </w:style>
  <w:style w:type="character" w:styleId="Hyperlink">
    <w:name w:val="Hyperlink"/>
    <w:basedOn w:val="DefaultParagraphFont"/>
    <w:uiPriority w:val="99"/>
    <w:qFormat/>
    <w:rsid w:val="00C26520"/>
    <w:rPr>
      <w:rFonts w:asciiTheme="minorHAnsi" w:hAnsiTheme="minorHAnsi"/>
      <w:color w:val="1CBECA" w:themeColor="hyperlink"/>
      <w:u w:val="single"/>
    </w:rPr>
  </w:style>
  <w:style w:type="character" w:customStyle="1" w:styleId="UnresolvedMention1">
    <w:name w:val="Unresolved Mention1"/>
    <w:basedOn w:val="DefaultParagraphFont"/>
    <w:uiPriority w:val="99"/>
    <w:semiHidden/>
    <w:unhideWhenUsed/>
    <w:rsid w:val="00DE24B0"/>
    <w:rPr>
      <w:color w:val="605E5C"/>
      <w:shd w:val="clear" w:color="auto" w:fill="E1DFDD"/>
    </w:rPr>
  </w:style>
  <w:style w:type="table" w:styleId="TableGrid">
    <w:name w:val="Table Grid"/>
    <w:basedOn w:val="TableNormal"/>
    <w:uiPriority w:val="39"/>
    <w:rsid w:val="00DE2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94484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aliases w:val="Table and Figure Caption,Table Caption,Char,Caption Char1 Char"/>
    <w:basedOn w:val="Normal"/>
    <w:next w:val="Normal"/>
    <w:link w:val="CaptionChar"/>
    <w:uiPriority w:val="10"/>
    <w:unhideWhenUsed/>
    <w:qFormat/>
    <w:rsid w:val="00E10A3E"/>
    <w:pPr>
      <w:keepNext/>
      <w:spacing w:before="240" w:after="200"/>
    </w:pPr>
    <w:rPr>
      <w:rFonts w:asciiTheme="majorHAnsi" w:hAnsiTheme="majorHAnsi"/>
      <w:b/>
      <w:iCs/>
      <w:color w:val="556270" w:themeColor="text2"/>
      <w:sz w:val="24"/>
      <w:szCs w:val="18"/>
    </w:rPr>
  </w:style>
  <w:style w:type="character" w:styleId="IntenseEmphasis">
    <w:name w:val="Intense Emphasis"/>
    <w:basedOn w:val="DefaultParagraphFont"/>
    <w:uiPriority w:val="21"/>
    <w:semiHidden/>
    <w:qFormat/>
    <w:rsid w:val="003F356C"/>
    <w:rPr>
      <w:rFonts w:ascii="Arial" w:hAnsi="Arial"/>
      <w:i/>
      <w:iCs/>
      <w:color w:val="1CBECA" w:themeColor="accent4"/>
      <w:sz w:val="22"/>
    </w:rPr>
  </w:style>
  <w:style w:type="character" w:styleId="SubtleEmphasis">
    <w:name w:val="Subtle Emphasis"/>
    <w:basedOn w:val="DefaultParagraphFont"/>
    <w:uiPriority w:val="19"/>
    <w:semiHidden/>
    <w:qFormat/>
    <w:rsid w:val="003F356C"/>
    <w:rPr>
      <w:i/>
      <w:iCs/>
      <w:color w:val="556270" w:themeColor="text2"/>
    </w:rPr>
  </w:style>
  <w:style w:type="paragraph" w:styleId="IntenseQuote">
    <w:name w:val="Intense Quote"/>
    <w:basedOn w:val="Normal"/>
    <w:next w:val="Normal"/>
    <w:link w:val="IntenseQuoteChar"/>
    <w:uiPriority w:val="30"/>
    <w:semiHidden/>
    <w:qFormat/>
    <w:rsid w:val="00563E1D"/>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semiHidden/>
    <w:rsid w:val="0058074A"/>
    <w:rPr>
      <w:i/>
      <w:iCs/>
      <w:color w:val="AF272F" w:themeColor="accent1"/>
    </w:rPr>
  </w:style>
  <w:style w:type="paragraph" w:styleId="TOCHeading">
    <w:name w:val="TOC Heading"/>
    <w:aliases w:val="Front Matter Heading (TOC,Contributors,Acknowledgments,etc.)"/>
    <w:basedOn w:val="Normal"/>
    <w:next w:val="Normal"/>
    <w:uiPriority w:val="39"/>
    <w:qFormat/>
    <w:rsid w:val="00E10A3E"/>
    <w:pPr>
      <w:pageBreakBefore/>
      <w:pBdr>
        <w:bottom w:val="single" w:sz="18" w:space="1" w:color="1CBECA" w:themeColor="accent4"/>
      </w:pBdr>
      <w:spacing w:after="240"/>
    </w:pPr>
    <w:rPr>
      <w:rFonts w:asciiTheme="majorHAnsi" w:hAnsiTheme="majorHAnsi"/>
      <w:color w:val="556270" w:themeColor="text2"/>
      <w:sz w:val="40"/>
      <w:szCs w:val="32"/>
    </w:rPr>
  </w:style>
  <w:style w:type="paragraph" w:styleId="TOC2">
    <w:name w:val="toc 2"/>
    <w:basedOn w:val="Normal"/>
    <w:next w:val="Normal"/>
    <w:autoRedefine/>
    <w:uiPriority w:val="39"/>
    <w:qFormat/>
    <w:rsid w:val="003A5AD2"/>
    <w:pPr>
      <w:tabs>
        <w:tab w:val="right" w:leader="dot" w:pos="9350"/>
      </w:tabs>
      <w:spacing w:after="100"/>
      <w:ind w:left="220"/>
    </w:pPr>
    <w:rPr>
      <w:color w:val="556270" w:themeColor="text2"/>
    </w:rPr>
  </w:style>
  <w:style w:type="paragraph" w:styleId="TOC1">
    <w:name w:val="toc 1"/>
    <w:basedOn w:val="Normal"/>
    <w:next w:val="Normal"/>
    <w:autoRedefine/>
    <w:uiPriority w:val="39"/>
    <w:qFormat/>
    <w:rsid w:val="007C76DC"/>
    <w:pPr>
      <w:tabs>
        <w:tab w:val="right" w:leader="dot" w:pos="9350"/>
      </w:tabs>
      <w:spacing w:after="100"/>
    </w:pPr>
    <w:rPr>
      <w:b/>
      <w:sz w:val="24"/>
    </w:rPr>
  </w:style>
  <w:style w:type="paragraph" w:styleId="TOC3">
    <w:name w:val="toc 3"/>
    <w:basedOn w:val="Normal"/>
    <w:next w:val="Normal"/>
    <w:autoRedefine/>
    <w:uiPriority w:val="39"/>
    <w:semiHidden/>
    <w:unhideWhenUsed/>
    <w:rsid w:val="00563E1D"/>
    <w:pPr>
      <w:spacing w:after="100"/>
      <w:ind w:left="440"/>
    </w:pPr>
    <w:rPr>
      <w:color w:val="556270" w:themeColor="text2"/>
    </w:rPr>
  </w:style>
  <w:style w:type="paragraph" w:styleId="TOC4">
    <w:name w:val="toc 4"/>
    <w:basedOn w:val="Normal"/>
    <w:next w:val="Normal"/>
    <w:autoRedefine/>
    <w:uiPriority w:val="39"/>
    <w:semiHidden/>
    <w:unhideWhenUsed/>
    <w:rsid w:val="00563E1D"/>
    <w:pPr>
      <w:spacing w:after="100"/>
      <w:ind w:left="660"/>
    </w:pPr>
    <w:rPr>
      <w:color w:val="94A0AE" w:themeColor="text2" w:themeTint="99"/>
    </w:rPr>
  </w:style>
  <w:style w:type="paragraph" w:styleId="TOC5">
    <w:name w:val="toc 5"/>
    <w:basedOn w:val="Normal"/>
    <w:next w:val="Normal"/>
    <w:autoRedefine/>
    <w:uiPriority w:val="39"/>
    <w:semiHidden/>
    <w:unhideWhenUsed/>
    <w:rsid w:val="00563E1D"/>
    <w:pPr>
      <w:spacing w:after="100"/>
      <w:ind w:left="880"/>
    </w:pPr>
    <w:rPr>
      <w:color w:val="94A0AE" w:themeColor="text2" w:themeTint="99"/>
    </w:rPr>
  </w:style>
  <w:style w:type="paragraph" w:styleId="TOC6">
    <w:name w:val="toc 6"/>
    <w:basedOn w:val="Normal"/>
    <w:next w:val="Normal"/>
    <w:autoRedefine/>
    <w:uiPriority w:val="39"/>
    <w:semiHidden/>
    <w:unhideWhenUsed/>
    <w:rsid w:val="00563E1D"/>
    <w:pPr>
      <w:spacing w:after="100"/>
      <w:ind w:left="1100"/>
    </w:pPr>
    <w:rPr>
      <w:color w:val="94A0AE" w:themeColor="text2" w:themeTint="99"/>
    </w:rPr>
  </w:style>
  <w:style w:type="paragraph" w:styleId="TOC7">
    <w:name w:val="toc 7"/>
    <w:basedOn w:val="Normal"/>
    <w:next w:val="Normal"/>
    <w:autoRedefine/>
    <w:uiPriority w:val="39"/>
    <w:semiHidden/>
    <w:unhideWhenUsed/>
    <w:rsid w:val="00563E1D"/>
    <w:pPr>
      <w:spacing w:after="100"/>
      <w:ind w:left="1320"/>
    </w:pPr>
    <w:rPr>
      <w:color w:val="94A0AE" w:themeColor="text2" w:themeTint="99"/>
    </w:rPr>
  </w:style>
  <w:style w:type="paragraph" w:styleId="TOC8">
    <w:name w:val="toc 8"/>
    <w:basedOn w:val="Normal"/>
    <w:next w:val="Normal"/>
    <w:autoRedefine/>
    <w:uiPriority w:val="39"/>
    <w:semiHidden/>
    <w:unhideWhenUsed/>
    <w:rsid w:val="00563E1D"/>
    <w:pPr>
      <w:spacing w:after="100"/>
      <w:ind w:left="1540"/>
    </w:pPr>
    <w:rPr>
      <w:color w:val="94A0AE" w:themeColor="text2" w:themeTint="99"/>
    </w:rPr>
  </w:style>
  <w:style w:type="paragraph" w:styleId="TOC9">
    <w:name w:val="toc 9"/>
    <w:basedOn w:val="Normal"/>
    <w:next w:val="Normal"/>
    <w:autoRedefine/>
    <w:uiPriority w:val="39"/>
    <w:semiHidden/>
    <w:unhideWhenUsed/>
    <w:rsid w:val="00563E1D"/>
    <w:pPr>
      <w:spacing w:after="100"/>
      <w:ind w:left="1760"/>
    </w:pPr>
    <w:rPr>
      <w:color w:val="94A0AE" w:themeColor="text2" w:themeTint="99"/>
    </w:rPr>
  </w:style>
  <w:style w:type="paragraph" w:styleId="FootnoteText">
    <w:name w:val="footnote text"/>
    <w:aliases w:val="DFSListFootnote"/>
    <w:basedOn w:val="Normal"/>
    <w:link w:val="FootnoteTextChar"/>
    <w:uiPriority w:val="99"/>
    <w:unhideWhenUsed/>
    <w:rsid w:val="004E0672"/>
    <w:rPr>
      <w:sz w:val="16"/>
      <w:szCs w:val="20"/>
    </w:rPr>
  </w:style>
  <w:style w:type="character" w:customStyle="1" w:styleId="FootnoteTextChar">
    <w:name w:val="Footnote Text Char"/>
    <w:aliases w:val="DFSListFootnote Char"/>
    <w:basedOn w:val="DefaultParagraphFont"/>
    <w:link w:val="FootnoteText"/>
    <w:uiPriority w:val="99"/>
    <w:rsid w:val="004B0B6D"/>
    <w:rPr>
      <w:sz w:val="16"/>
      <w:szCs w:val="20"/>
    </w:rPr>
  </w:style>
  <w:style w:type="character" w:styleId="FootnoteReference">
    <w:name w:val="footnote reference"/>
    <w:basedOn w:val="DefaultParagraphFont"/>
    <w:uiPriority w:val="99"/>
    <w:unhideWhenUsed/>
    <w:rsid w:val="004E0672"/>
    <w:rPr>
      <w:rFonts w:asciiTheme="minorHAnsi" w:hAnsiTheme="minorHAnsi"/>
      <w:sz w:val="16"/>
      <w:vertAlign w:val="superscript"/>
    </w:rPr>
  </w:style>
  <w:style w:type="paragraph" w:styleId="ListNumber2">
    <w:name w:val="List Number 2"/>
    <w:aliases w:val="Number 2"/>
    <w:basedOn w:val="Normal"/>
    <w:uiPriority w:val="99"/>
    <w:qFormat/>
    <w:rsid w:val="00991CC2"/>
    <w:pPr>
      <w:numPr>
        <w:numId w:val="1"/>
      </w:numPr>
      <w:spacing w:after="120" w:line="300" w:lineRule="auto"/>
      <w:contextualSpacing/>
    </w:pPr>
  </w:style>
  <w:style w:type="paragraph" w:styleId="BodyText">
    <w:name w:val="Body Text"/>
    <w:basedOn w:val="Normal"/>
    <w:link w:val="BodyTextChar"/>
    <w:uiPriority w:val="7"/>
    <w:qFormat/>
    <w:rsid w:val="003A5AD2"/>
    <w:pPr>
      <w:spacing w:after="120" w:line="300" w:lineRule="auto"/>
    </w:pPr>
  </w:style>
  <w:style w:type="character" w:customStyle="1" w:styleId="BodyTextChar">
    <w:name w:val="Body Text Char"/>
    <w:basedOn w:val="DefaultParagraphFont"/>
    <w:link w:val="BodyText"/>
    <w:uiPriority w:val="7"/>
    <w:rsid w:val="003A5AD2"/>
  </w:style>
  <w:style w:type="paragraph" w:styleId="ListBullet">
    <w:name w:val="List Bullet"/>
    <w:aliases w:val="Bullet 1"/>
    <w:basedOn w:val="Normal"/>
    <w:uiPriority w:val="99"/>
    <w:qFormat/>
    <w:rsid w:val="007D792D"/>
    <w:pPr>
      <w:numPr>
        <w:numId w:val="2"/>
      </w:numPr>
      <w:spacing w:after="40" w:line="300" w:lineRule="auto"/>
    </w:pPr>
  </w:style>
  <w:style w:type="paragraph" w:styleId="ListBullet2">
    <w:name w:val="List Bullet 2"/>
    <w:aliases w:val="Bullet 2"/>
    <w:basedOn w:val="ListBullet"/>
    <w:uiPriority w:val="99"/>
    <w:qFormat/>
    <w:rsid w:val="007D792D"/>
    <w:pPr>
      <w:numPr>
        <w:numId w:val="4"/>
      </w:numPr>
      <w:ind w:left="720"/>
    </w:pPr>
  </w:style>
  <w:style w:type="paragraph" w:styleId="ListParagraph">
    <w:name w:val="List Paragraph"/>
    <w:basedOn w:val="Normal"/>
    <w:link w:val="ListParagraphChar"/>
    <w:uiPriority w:val="34"/>
    <w:qFormat/>
    <w:rsid w:val="00EB1818"/>
    <w:pPr>
      <w:ind w:left="720"/>
      <w:contextualSpacing/>
    </w:pPr>
  </w:style>
  <w:style w:type="character" w:customStyle="1" w:styleId="CaptionChar">
    <w:name w:val="Caption Char"/>
    <w:aliases w:val="Table and Figure Caption Char,Table Caption Char,Char Char,Caption Char1 Char Char"/>
    <w:basedOn w:val="DefaultParagraphFont"/>
    <w:link w:val="Caption"/>
    <w:uiPriority w:val="10"/>
    <w:locked/>
    <w:rsid w:val="00E10A3E"/>
    <w:rPr>
      <w:rFonts w:asciiTheme="majorHAnsi" w:hAnsiTheme="majorHAnsi"/>
      <w:b/>
      <w:iCs/>
      <w:color w:val="556270" w:themeColor="text2"/>
      <w:sz w:val="24"/>
      <w:szCs w:val="18"/>
    </w:rPr>
  </w:style>
  <w:style w:type="table" w:styleId="GridTable1Light-Accent4">
    <w:name w:val="Grid Table 1 Light Accent 4"/>
    <w:basedOn w:val="TableNormal"/>
    <w:uiPriority w:val="46"/>
    <w:rsid w:val="00C214CE"/>
    <w:tblPr>
      <w:tblStyleRowBandSize w:val="1"/>
      <w:tblStyleColBandSize w:val="1"/>
      <w:tblBorders>
        <w:top w:val="single" w:sz="4" w:space="0" w:color="9CEBF1" w:themeColor="accent4" w:themeTint="66"/>
        <w:left w:val="single" w:sz="4" w:space="0" w:color="9CEBF1" w:themeColor="accent4" w:themeTint="66"/>
        <w:bottom w:val="single" w:sz="4" w:space="0" w:color="9CEBF1" w:themeColor="accent4" w:themeTint="66"/>
        <w:right w:val="single" w:sz="4" w:space="0" w:color="9CEBF1" w:themeColor="accent4" w:themeTint="66"/>
        <w:insideH w:val="single" w:sz="4" w:space="0" w:color="9CEBF1" w:themeColor="accent4" w:themeTint="66"/>
        <w:insideV w:val="single" w:sz="4" w:space="0" w:color="9CEBF1" w:themeColor="accent4" w:themeTint="66"/>
      </w:tblBorders>
    </w:tblPr>
    <w:tblStylePr w:type="firstRow">
      <w:rPr>
        <w:b/>
        <w:bCs/>
      </w:rPr>
      <w:tblPr/>
      <w:tcPr>
        <w:tcBorders>
          <w:bottom w:val="single" w:sz="12" w:space="0" w:color="6BE1EA" w:themeColor="accent4" w:themeTint="99"/>
        </w:tcBorders>
      </w:tcPr>
    </w:tblStylePr>
    <w:tblStylePr w:type="lastRow">
      <w:rPr>
        <w:b/>
        <w:bCs/>
      </w:rPr>
      <w:tblPr/>
      <w:tcPr>
        <w:tcBorders>
          <w:top w:val="double" w:sz="2" w:space="0" w:color="6BE1EA" w:themeColor="accent4" w:themeTint="99"/>
        </w:tcBorders>
      </w:tcPr>
    </w:tblStylePr>
    <w:tblStylePr w:type="firstCol">
      <w:rPr>
        <w:b/>
        <w:bCs/>
      </w:rPr>
    </w:tblStylePr>
    <w:tblStylePr w:type="lastCol">
      <w:rPr>
        <w:b/>
        <w:bCs/>
      </w:rPr>
    </w:tblStylePr>
  </w:style>
  <w:style w:type="table" w:styleId="PlainTable4">
    <w:name w:val="Plain Table 4"/>
    <w:aliases w:val="BPA table minimal"/>
    <w:basedOn w:val="TableNormal"/>
    <w:uiPriority w:val="44"/>
    <w:rsid w:val="007526FA"/>
    <w:tblPr>
      <w:tblStyleRowBandSize w:val="1"/>
      <w:tblStyleColBandSize w:val="1"/>
    </w:tblPr>
    <w:tcPr>
      <w:shd w:val="clear" w:color="auto" w:fill="E9ECEF"/>
    </w:tcPr>
    <w:tblStylePr w:type="firstRow">
      <w:rPr>
        <w:b/>
        <w:bCs/>
      </w:rPr>
      <w:tblPr/>
      <w:tcPr>
        <w:shd w:val="clear" w:color="auto" w:fill="E9ECEF"/>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E9ECEF"/>
      </w:tcPr>
    </w:tblStylePr>
  </w:style>
  <w:style w:type="table" w:customStyle="1" w:styleId="BPATable-Minimal">
    <w:name w:val="BPA Table - Minimal"/>
    <w:basedOn w:val="PlainTable4"/>
    <w:uiPriority w:val="99"/>
    <w:rsid w:val="00A94C7E"/>
    <w:pPr>
      <w:spacing w:before="40" w:after="40"/>
    </w:pPr>
    <w:rPr>
      <w:sz w:val="20"/>
    </w:rPr>
    <w:tblPr>
      <w:tblCellMar>
        <w:top w:w="43" w:type="dxa"/>
        <w:bottom w:w="43" w:type="dxa"/>
      </w:tblCellMar>
    </w:tblPr>
    <w:trPr>
      <w:cantSplit/>
    </w:trPr>
    <w:tcPr>
      <w:shd w:val="clear" w:color="auto" w:fill="E9ECEF"/>
      <w:vAlign w:val="center"/>
    </w:tcPr>
    <w:tblStylePr w:type="firstRow">
      <w:pPr>
        <w:wordWrap/>
        <w:spacing w:beforeLines="0" w:before="40" w:beforeAutospacing="0" w:afterLines="0" w:after="40" w:afterAutospacing="0" w:line="240" w:lineRule="auto"/>
      </w:pPr>
      <w:rPr>
        <w:b/>
        <w:bCs/>
      </w:rPr>
      <w:tblPr/>
      <w:trPr>
        <w:cantSplit/>
      </w:trPr>
      <w:tcPr>
        <w:shd w:val="clear" w:color="auto" w:fill="E9ECEF"/>
        <w:vAlign w:val="center"/>
      </w:tcPr>
    </w:tblStylePr>
    <w:tblStylePr w:type="lastRow">
      <w:rPr>
        <w:b/>
        <w:bCs/>
      </w:rPr>
    </w:tblStylePr>
    <w:tblStylePr w:type="firstCol">
      <w:rPr>
        <w:rFonts w:asciiTheme="minorHAnsi" w:hAnsiTheme="minorHAnsi"/>
        <w:b/>
        <w:bCs/>
        <w:sz w:val="18"/>
      </w:rPr>
    </w:tblStylePr>
    <w:tblStylePr w:type="lastCol">
      <w:rPr>
        <w:b/>
        <w:bCs/>
      </w:rPr>
    </w:tblStylePr>
    <w:tblStylePr w:type="band1Vert">
      <w:tblPr/>
      <w:tcPr>
        <w:shd w:val="clear" w:color="auto" w:fill="F2F2F2" w:themeFill="background1" w:themeFillShade="F2"/>
      </w:tcPr>
    </w:tblStylePr>
    <w:tblStylePr w:type="band2Vert">
      <w:rPr>
        <w:color w:val="auto"/>
      </w:rPr>
    </w:tblStylePr>
    <w:tblStylePr w:type="band1Horz">
      <w:tblPr/>
      <w:tcPr>
        <w:shd w:val="clear" w:color="auto" w:fill="FFFFFF" w:themeFill="background1"/>
      </w:tcPr>
    </w:tblStylePr>
    <w:tblStylePr w:type="band2Horz">
      <w:tblPr/>
      <w:tcPr>
        <w:shd w:val="clear" w:color="auto" w:fill="E9ECEF"/>
      </w:tcPr>
    </w:tblStylePr>
  </w:style>
  <w:style w:type="table" w:customStyle="1" w:styleId="BPATable-classic">
    <w:name w:val="BPA Table - classic"/>
    <w:basedOn w:val="TableGrid"/>
    <w:uiPriority w:val="99"/>
    <w:rsid w:val="00292978"/>
    <w:pPr>
      <w:spacing w:before="40" w:after="40"/>
      <w:contextualSpacing/>
    </w:pPr>
    <w:rPr>
      <w:rFonts w:ascii="Arial" w:hAnsi="Arial"/>
      <w:sz w:val="20"/>
    </w:rPr>
    <w:tblPr>
      <w:tblStyleRowBandSize w:val="1"/>
      <w:jc w:val="center"/>
      <w:tblBorders>
        <w:top w:val="none" w:sz="0" w:space="0" w:color="auto"/>
        <w:left w:val="none" w:sz="0" w:space="0" w:color="auto"/>
        <w:bottom w:val="none" w:sz="0" w:space="0" w:color="auto"/>
        <w:right w:val="none" w:sz="0" w:space="0" w:color="auto"/>
        <w:insideH w:val="single" w:sz="4" w:space="0" w:color="B7BFC9" w:themeColor="text2" w:themeTint="66"/>
        <w:insideV w:val="none" w:sz="0" w:space="0" w:color="auto"/>
      </w:tblBorders>
      <w:tblCellMar>
        <w:top w:w="43" w:type="dxa"/>
        <w:left w:w="144" w:type="dxa"/>
        <w:bottom w:w="43" w:type="dxa"/>
        <w:right w:w="144" w:type="dxa"/>
      </w:tblCellMar>
    </w:tblPr>
    <w:trPr>
      <w:cantSplit/>
      <w:jc w:val="center"/>
    </w:trPr>
    <w:tcPr>
      <w:vAlign w:val="center"/>
    </w:tcPr>
    <w:tblStylePr w:type="firstRow">
      <w:pPr>
        <w:wordWrap/>
        <w:spacing w:beforeLines="0" w:before="40" w:beforeAutospacing="0" w:afterLines="0" w:after="0" w:afterAutospacing="0" w:line="240" w:lineRule="auto"/>
        <w:contextualSpacing/>
        <w:jc w:val="left"/>
      </w:pPr>
      <w:rPr>
        <w:rFonts w:ascii="Arial" w:hAnsi="Arial"/>
        <w:b/>
        <w:color w:val="FFFFFF"/>
        <w:sz w:val="20"/>
      </w:rPr>
      <w:tblPr/>
      <w:trPr>
        <w:cantSplit w:val="0"/>
        <w:tblHeader/>
      </w:trPr>
      <w:tcPr>
        <w:tcBorders>
          <w:top w:val="nil"/>
          <w:left w:val="nil"/>
          <w:bottom w:val="single" w:sz="12" w:space="0" w:color="767171"/>
          <w:right w:val="nil"/>
          <w:insideH w:val="nil"/>
          <w:insideV w:val="nil"/>
          <w:tl2br w:val="nil"/>
          <w:tr2bl w:val="nil"/>
        </w:tcBorders>
        <w:shd w:val="clear" w:color="auto" w:fill="556270"/>
      </w:tcPr>
    </w:tblStylePr>
    <w:tblStylePr w:type="firstCol">
      <w:pPr>
        <w:wordWrap/>
        <w:spacing w:afterLines="0" w:after="0" w:afterAutospacing="0"/>
        <w:contextualSpacing/>
      </w:pPr>
      <w:rPr>
        <w:rFonts w:ascii="Arial" w:hAnsi="Arial"/>
        <w:b/>
        <w:sz w:val="20"/>
      </w:rPr>
      <w:tblPr>
        <w:tblCellMar>
          <w:top w:w="43" w:type="dxa"/>
          <w:left w:w="14" w:type="dxa"/>
          <w:bottom w:w="43" w:type="dxa"/>
          <w:right w:w="14" w:type="dxa"/>
        </w:tblCellMar>
      </w:tblPr>
      <w:trPr>
        <w:cantSplit w:val="0"/>
      </w:trPr>
    </w:tblStylePr>
    <w:tblStylePr w:type="lastCol">
      <w:pPr>
        <w:wordWrap/>
        <w:spacing w:beforeLines="0" w:before="0" w:beforeAutospacing="0" w:afterLines="0" w:after="0" w:afterAutospacing="0" w:line="240" w:lineRule="auto"/>
        <w:contextualSpacing w:val="0"/>
        <w:jc w:val="left"/>
      </w:pPr>
      <w:rPr>
        <w:rFonts w:ascii="Arial" w:hAnsi="Arial"/>
        <w:sz w:val="20"/>
      </w:rPr>
      <w:tblPr>
        <w:tblCellMar>
          <w:top w:w="43" w:type="dxa"/>
          <w:left w:w="14" w:type="dxa"/>
          <w:bottom w:w="43" w:type="dxa"/>
          <w:right w:w="14" w:type="dxa"/>
        </w:tblCellMar>
      </w:tblPr>
      <w:trPr>
        <w:cantSplit w:val="0"/>
      </w:trPr>
      <w:tcPr>
        <w:tcMar>
          <w:top w:w="43" w:type="dxa"/>
          <w:left w:w="115" w:type="dxa"/>
          <w:bottom w:w="43" w:type="dxa"/>
          <w:right w:w="115" w:type="dxa"/>
        </w:tcMar>
      </w:tcPr>
    </w:tblStylePr>
  </w:style>
  <w:style w:type="paragraph" w:styleId="TableofFigures">
    <w:name w:val="table of figures"/>
    <w:basedOn w:val="Normal"/>
    <w:next w:val="Normal"/>
    <w:uiPriority w:val="99"/>
    <w:unhideWhenUsed/>
    <w:rsid w:val="00A94C7E"/>
    <w:pPr>
      <w:spacing w:after="120"/>
    </w:pPr>
  </w:style>
  <w:style w:type="paragraph" w:customStyle="1" w:styleId="Source">
    <w:name w:val="Source"/>
    <w:basedOn w:val="Normal"/>
    <w:link w:val="SourceChar"/>
    <w:qFormat/>
    <w:rsid w:val="00CF69AF"/>
    <w:pPr>
      <w:spacing w:after="240"/>
    </w:pPr>
    <w:rPr>
      <w:rFonts w:ascii="Arial" w:hAnsi="Arial"/>
      <w:i/>
      <w:color w:val="94A0AE" w:themeColor="text2" w:themeTint="99"/>
      <w:sz w:val="18"/>
    </w:rPr>
  </w:style>
  <w:style w:type="character" w:customStyle="1" w:styleId="SourceChar">
    <w:name w:val="Source Char"/>
    <w:basedOn w:val="DefaultParagraphFont"/>
    <w:link w:val="Source"/>
    <w:rsid w:val="00136368"/>
    <w:rPr>
      <w:rFonts w:ascii="Arial" w:hAnsi="Arial"/>
      <w:i/>
      <w:color w:val="94A0AE" w:themeColor="text2" w:themeTint="99"/>
      <w:sz w:val="18"/>
    </w:rPr>
  </w:style>
  <w:style w:type="character" w:customStyle="1" w:styleId="ListParagraphChar">
    <w:name w:val="List Paragraph Char"/>
    <w:basedOn w:val="DefaultParagraphFont"/>
    <w:link w:val="ListParagraph"/>
    <w:uiPriority w:val="34"/>
    <w:locked/>
    <w:rsid w:val="00136368"/>
  </w:style>
  <w:style w:type="table" w:customStyle="1" w:styleId="BPATable1">
    <w:name w:val="BPA Table1"/>
    <w:basedOn w:val="TableNormal"/>
    <w:uiPriority w:val="99"/>
    <w:rsid w:val="00BE3BFD"/>
    <w:pPr>
      <w:jc w:val="center"/>
    </w:pPr>
    <w:rPr>
      <w:rFonts w:ascii="Segoe UI" w:hAnsi="Segoe UI"/>
      <w:sz w:val="20"/>
    </w:rPr>
    <w:tblPr>
      <w:jc w:val="center"/>
      <w:tblBorders>
        <w:bottom w:val="single" w:sz="12" w:space="0" w:color="767171"/>
        <w:insideH w:val="dashSmallGap" w:sz="4" w:space="0" w:color="DBDFE4"/>
      </w:tblBorders>
    </w:tblPr>
    <w:trPr>
      <w:jc w:val="center"/>
    </w:trPr>
    <w:tcPr>
      <w:vAlign w:val="center"/>
    </w:tcPr>
    <w:tblStylePr w:type="firstRow">
      <w:pPr>
        <w:wordWrap/>
        <w:spacing w:beforeLines="0" w:before="0" w:beforeAutospacing="0" w:afterLines="0" w:after="0" w:afterAutospacing="0" w:line="240" w:lineRule="auto"/>
        <w:contextualSpacing w:val="0"/>
        <w:jc w:val="left"/>
      </w:pPr>
      <w:rPr>
        <w:rFonts w:ascii="Arial Narrow" w:hAnsi="Arial Narrow"/>
        <w:b/>
        <w:color w:val="FFFFFF"/>
        <w:sz w:val="20"/>
      </w:rPr>
      <w:tblPr/>
      <w:tcPr>
        <w:tcBorders>
          <w:top w:val="nil"/>
          <w:left w:val="nil"/>
          <w:bottom w:val="single" w:sz="12" w:space="0" w:color="767171"/>
          <w:right w:val="nil"/>
          <w:insideH w:val="nil"/>
          <w:insideV w:val="nil"/>
          <w:tl2br w:val="nil"/>
          <w:tr2bl w:val="nil"/>
        </w:tcBorders>
        <w:shd w:val="clear" w:color="auto" w:fill="55627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855956">
      <w:bodyDiv w:val="1"/>
      <w:marLeft w:val="0"/>
      <w:marRight w:val="0"/>
      <w:marTop w:val="0"/>
      <w:marBottom w:val="0"/>
      <w:divBdr>
        <w:top w:val="none" w:sz="0" w:space="0" w:color="auto"/>
        <w:left w:val="none" w:sz="0" w:space="0" w:color="auto"/>
        <w:bottom w:val="none" w:sz="0" w:space="0" w:color="auto"/>
        <w:right w:val="none" w:sz="0" w:space="0" w:color="auto"/>
      </w:divBdr>
    </w:div>
    <w:div w:id="1019308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jcblacker@bpa.gov"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mailto:jcblacker@bpa.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Shared%20Folders\CADEO\06_Get%20Better\Design\1_TEMPLATES\Client%20Templates\BPA\BPA%20Template_shortversion.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556270"/>
      </a:dk2>
      <a:lt2>
        <a:srgbClr val="DBDFE3"/>
      </a:lt2>
      <a:accent1>
        <a:srgbClr val="AF272F"/>
      </a:accent1>
      <a:accent2>
        <a:srgbClr val="F44E39"/>
      </a:accent2>
      <a:accent3>
        <a:srgbClr val="C1D82F"/>
      </a:accent3>
      <a:accent4>
        <a:srgbClr val="1CBECA"/>
      </a:accent4>
      <a:accent5>
        <a:srgbClr val="556270"/>
      </a:accent5>
      <a:accent6>
        <a:srgbClr val="FFFFFF"/>
      </a:accent6>
      <a:hlink>
        <a:srgbClr val="1CBECA"/>
      </a:hlink>
      <a:folHlink>
        <a:srgbClr val="94A0AD"/>
      </a:folHlink>
    </a:clrScheme>
    <a:fontScheme name="BPA template">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7907B4B4179C4E95343546DBF64FA9" ma:contentTypeVersion="12" ma:contentTypeDescription="Create a new document." ma:contentTypeScope="" ma:versionID="bf6a33837f40f7391f0e3ca98bea81b4">
  <xsd:schema xmlns:xsd="http://www.w3.org/2001/XMLSchema" xmlns:xs="http://www.w3.org/2001/XMLSchema" xmlns:p="http://schemas.microsoft.com/office/2006/metadata/properties" xmlns:ns3="d2cf4a30-f328-4af6-9076-14b21bfcf0d8" xmlns:ns4="b745c4ed-fdce-4851-9563-cf807099234f" targetNamespace="http://schemas.microsoft.com/office/2006/metadata/properties" ma:root="true" ma:fieldsID="cade21b6e80a9edaeed0834815aa94ee" ns3:_="" ns4:_="">
    <xsd:import namespace="d2cf4a30-f328-4af6-9076-14b21bfcf0d8"/>
    <xsd:import namespace="b745c4ed-fdce-4851-9563-cf807099234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_activity"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f4a30-f328-4af6-9076-14b21bfcf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45c4ed-fdce-4851-9563-cf807099234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2cf4a30-f328-4af6-9076-14b21bfcf0d8" xsi:nil="true"/>
  </documentManagement>
</p:properties>
</file>

<file path=customXml/itemProps1.xml><?xml version="1.0" encoding="utf-8"?>
<ds:datastoreItem xmlns:ds="http://schemas.openxmlformats.org/officeDocument/2006/customXml" ds:itemID="{C094FDA9-ADF8-44FC-9BEB-FD3E1968198B}">
  <ds:schemaRefs>
    <ds:schemaRef ds:uri="http://schemas.openxmlformats.org/officeDocument/2006/bibliography"/>
  </ds:schemaRefs>
</ds:datastoreItem>
</file>

<file path=customXml/itemProps2.xml><?xml version="1.0" encoding="utf-8"?>
<ds:datastoreItem xmlns:ds="http://schemas.openxmlformats.org/officeDocument/2006/customXml" ds:itemID="{E57A5936-DE50-4D3C-8F6D-AAFB1347AC65}">
  <ds:schemaRefs>
    <ds:schemaRef ds:uri="http://schemas.microsoft.com/sharepoint/v3/contenttype/forms"/>
  </ds:schemaRefs>
</ds:datastoreItem>
</file>

<file path=customXml/itemProps3.xml><?xml version="1.0" encoding="utf-8"?>
<ds:datastoreItem xmlns:ds="http://schemas.openxmlformats.org/officeDocument/2006/customXml" ds:itemID="{7DFF1F2E-2856-4FF4-80B3-B6235B210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f4a30-f328-4af6-9076-14b21bfcf0d8"/>
    <ds:schemaRef ds:uri="b745c4ed-fdce-4851-9563-cf8070992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380A84-E5F4-4034-9509-1A58EED180E4}">
  <ds:schemaRefs>
    <ds:schemaRef ds:uri="http://schemas.microsoft.com/office/2006/metadata/properties"/>
    <ds:schemaRef ds:uri="http://schemas.microsoft.com/office/infopath/2007/PartnerControls"/>
    <ds:schemaRef ds:uri="d2cf4a30-f328-4af6-9076-14b21bfcf0d8"/>
  </ds:schemaRefs>
</ds:datastoreItem>
</file>

<file path=docProps/app.xml><?xml version="1.0" encoding="utf-8"?>
<Properties xmlns="http://schemas.openxmlformats.org/officeDocument/2006/extended-properties" xmlns:vt="http://schemas.openxmlformats.org/officeDocument/2006/docPropsVTypes">
  <Template>BPA Template_shortversion</Template>
  <TotalTime>2</TotalTime>
  <Pages>36</Pages>
  <Words>8809</Words>
  <Characters>50212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BPA</Company>
  <LinksUpToDate>false</LinksUpToDate>
  <CharactersWithSpaces>58904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kdonaldson</dc:creator>
  <cp:keywords/>
  <dc:description/>
  <cp:lastModifiedBy>Kate Donaldson</cp:lastModifiedBy>
  <cp:revision>2</cp:revision>
  <dcterms:created xsi:type="dcterms:W3CDTF">2023-09-15T16:48:00Z</dcterms:created>
  <dcterms:modified xsi:type="dcterms:W3CDTF">2023-09-15T16:48:00Z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0x010100007907B4B4179C4E95343546DBF64FA9</vt:lpwstr>
  </property>
</Properties>
</file>